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ascii="宋体" w:hAnsi="宋体" w:cs="宋体"/>
          <w:b/>
          <w:color w:val="auto"/>
          <w:sz w:val="28"/>
          <w:szCs w:val="28"/>
          <w:highlight w:val="none"/>
        </w:rPr>
      </w:pPr>
      <w:r/>
      <w:bookmarkStart w:id="482" w:name="_GoBack"/>
      <w:r>
        <w:rPr>
          <w:rFonts w:hint="eastAsia" w:ascii="宋体" w:hAnsi="宋体" w:cs="宋体"/>
          <w:color w:val="auto"/>
          <w:sz w:val="28"/>
          <w:szCs w:val="28"/>
          <w:highlight w:val="none"/>
        </w:rPr>
        <w:tab/>
      </w:r>
      <w:r>
        <w:rPr>
          <w:rFonts w:hint="eastAsia" w:ascii="宋体" w:hAnsi="宋体" w:cs="宋体"/>
          <w:b/>
          <w:color w:val="auto"/>
          <w:sz w:val="28"/>
          <w:szCs w:val="28"/>
          <w:highlight w:val="none"/>
          <w:lang w:eastAsia="zh-CN"/>
        </w:rPr>
        <w:t xml:space="preserve">JSZC-321012-JSYS-C2025-0005</w:t>
      </w:r>
      <w:r/>
    </w:p>
    <w:p>
      <w:pPr>
        <w:pStyle w:val="1012"/>
        <w:rPr>
          <w:rFonts w:ascii="宋体" w:hAnsi="宋体" w:cs="宋体"/>
          <w:color w:val="auto"/>
          <w:highlight w:val="none"/>
        </w:rPr>
      </w:pPr>
      <w:r>
        <w:rPr>
          <w:rFonts w:ascii="宋体" w:hAnsi="宋体" w:cs="宋体"/>
          <w:color w:val="auto"/>
          <w:highlight w:val="none"/>
        </w:rPr>
      </w:r>
      <w:r/>
    </w:p>
    <w:p>
      <w:pPr>
        <w:jc w:val="center"/>
        <w:spacing w:line="36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江都区樊川镇大同村2025年度宜居宜业和美乡村建设项目</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竞争性磋商文件</w:t>
      </w:r>
      <w:r/>
    </w:p>
    <w:p>
      <w:pPr>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jc w:val="center"/>
        <w:rPr>
          <w:rFonts w:ascii="宋体" w:hAnsi="宋体" w:cs="宋体"/>
          <w:color w:val="auto"/>
          <w:highlight w:val="none"/>
        </w:rPr>
      </w:pPr>
      <w:r>
        <w:rPr>
          <w:rFonts w:hint="eastAsia" w:ascii="宋体" w:hAnsi="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4.0pt;height:294.0pt;mso-wrap-distance-left:0.0pt;mso-wrap-distance-top:0.0pt;mso-wrap-distance-right:0.0pt;mso-wrap-distance-bottom:0.0pt;" filled="f" stroked="f">
            <v:path textboxrect="0,0,0,0"/>
            <v:imagedata r:id="rId15" o:title=""/>
          </v:shape>
          <o:OLEObject DrawAspect="Content" r:id="rId16" ObjectID="_1525042" ProgID="StaticMetafile" ShapeID="_x0000_i2" Type="Embed"/>
        </w:objec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江苏誉森建设项目管理有限公司</w:t>
      </w:r>
      <w:r/>
    </w:p>
    <w:p>
      <w:pPr>
        <w:jc w:val="center"/>
        <w:spacing w:line="360" w:lineRule="auto"/>
        <w:rPr>
          <w:rFonts w:ascii="宋体" w:hAnsi="宋体" w:cs="宋体"/>
          <w:color w:val="auto"/>
          <w:sz w:val="48"/>
          <w:szCs w:val="48"/>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eastAsia="zh-CN"/>
        </w:rPr>
        <w:t xml:space="preserve">五</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十一</w:t>
      </w:r>
      <w:r>
        <w:rPr>
          <w:rFonts w:hint="eastAsia" w:ascii="宋体" w:hAnsi="宋体" w:cs="宋体"/>
          <w:color w:val="auto"/>
          <w:sz w:val="32"/>
          <w:szCs w:val="32"/>
          <w:highlight w:val="none"/>
        </w:rPr>
        <w:t xml:space="preserve">月</w:t>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sectPr>
          <w:footnotePr/>
          <w:endnotePr/>
          <w:type w:val="nextPage"/>
          <w:pgSz w:w="11906" w:h="16838" w:orient="portrait"/>
          <w:pgMar w:top="1440" w:right="1576" w:bottom="1440" w:left="1800" w:header="851" w:footer="992" w:gutter="0"/>
          <w:cols w:num="1" w:sep="0" w:space="720" w:equalWidth="1"/>
          <w:docGrid w:linePitch="360"/>
        </w:sectPr>
      </w:pPr>
      <w:r>
        <w:rPr>
          <w:rFonts w:ascii="宋体" w:hAnsi="宋体" w:cs="宋体"/>
          <w:color w:val="auto"/>
          <w:sz w:val="28"/>
          <w:szCs w:val="28"/>
          <w:highlight w:val="none"/>
        </w:rPr>
      </w:r>
      <w:r/>
    </w:p>
    <w:p>
      <w:pPr>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目录</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第一章竞争性磋商公告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1</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第二章磋商须知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6</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第三章合同主要条款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17</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第四章竞争性磋商服务要求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40</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第五章评审标准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44</w:t>
      </w:r>
      <w:r/>
    </w:p>
    <w:p>
      <w:pPr>
        <w:spacing w:line="360" w:lineRule="auto"/>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第六章竞争性磋商投标文件（格式）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47</w:t>
      </w:r>
      <w:r/>
    </w:p>
    <w:p>
      <w:pPr>
        <w:ind w:firstLine="643"/>
        <w:jc w:val="left"/>
        <w:spacing w:line="360" w:lineRule="auto"/>
        <w:widowControl/>
        <w:rPr>
          <w:rFonts w:ascii="宋体" w:hAnsi="宋体" w:cs="宋体"/>
          <w:b/>
          <w:bCs/>
          <w:color w:val="auto"/>
          <w:sz w:val="32"/>
          <w:szCs w:val="32"/>
          <w:highlight w:val="none"/>
        </w:rPr>
        <w:sectPr>
          <w:footerReference w:type="default" r:id="rId10"/>
          <w:footnotePr/>
          <w:endnotePr/>
          <w:type w:val="nextPage"/>
          <w:pgSz w:w="11906" w:h="16838" w:orient="portrait"/>
          <w:pgMar w:top="1440" w:right="1576" w:bottom="1440" w:left="1800" w:header="851" w:footer="992" w:gutter="0"/>
          <w:pgNumType w:start="1"/>
          <w:cols w:num="1" w:sep="0" w:space="720" w:equalWidth="1"/>
          <w:docGrid w:linePitch="360"/>
        </w:sectPr>
      </w:pPr>
      <w:r>
        <w:rPr>
          <w:rFonts w:ascii="宋体" w:hAnsi="宋体" w:cs="宋体"/>
          <w:b/>
          <w:bCs/>
          <w:color w:val="auto"/>
          <w:sz w:val="32"/>
          <w:szCs w:val="32"/>
          <w:highlight w:val="none"/>
        </w:rPr>
      </w:r>
      <w:r/>
    </w:p>
    <w:p>
      <w:pPr>
        <w:ind w:firstLine="643"/>
        <w:jc w:val="center"/>
        <w:spacing w:line="360" w:lineRule="auto"/>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第一章</w:t>
      </w:r>
      <w:r>
        <w:rPr>
          <w:rFonts w:hint="eastAsia" w:ascii="宋体" w:hAnsi="宋体" w:cs="宋体"/>
          <w:b/>
          <w:color w:val="auto"/>
          <w:sz w:val="32"/>
          <w:szCs w:val="32"/>
          <w:highlight w:val="none"/>
          <w:lang w:eastAsia="zh-CN"/>
        </w:rPr>
        <w:t xml:space="preserve">JSZC-321012-JSYS-C2025-0005 </w:t>
      </w:r>
      <w:r>
        <w:rPr>
          <w:rFonts w:hint="eastAsia" w:ascii="宋体" w:hAnsi="宋体" w:cs="宋体"/>
          <w:b/>
          <w:color w:val="auto"/>
          <w:sz w:val="32"/>
          <w:szCs w:val="32"/>
          <w:highlight w:val="none"/>
          <w:lang w:eastAsia="zh-CN"/>
        </w:rPr>
        <w:t xml:space="preserve">江都区樊川镇大同村2025年度宜居宜业和美乡村建设项目</w:t>
      </w:r>
      <w:r>
        <w:rPr>
          <w:rFonts w:hint="eastAsia" w:ascii="宋体" w:hAnsi="宋体" w:cs="宋体"/>
          <w:b/>
          <w:bCs/>
          <w:color w:val="auto"/>
          <w:sz w:val="32"/>
          <w:szCs w:val="32"/>
          <w:highlight w:val="none"/>
        </w:rPr>
        <w:t xml:space="preserve">竞争性磋商公告</w:t>
      </w:r>
      <w:r/>
    </w:p>
    <w:tbl>
      <w:tblPr>
        <w:tblStyle w:val="8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0"/>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项目概况</w:t>
            </w:r>
            <w:r/>
          </w:p>
          <w:p>
            <w:pPr>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江都区樊川镇大同村2025年度宜居宜业和美乡村建设项目</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eastAsia="zh-CN"/>
              </w:rPr>
              <w:t xml:space="preserve">JSZC-321012-JSYS-C2025-0005</w:t>
            </w:r>
            <w:r>
              <w:rPr>
                <w:rFonts w:hint="eastAsia" w:ascii="宋体" w:hAnsi="宋体" w:cs="宋体"/>
                <w:color w:val="auto"/>
                <w:sz w:val="21"/>
                <w:szCs w:val="21"/>
                <w:highlight w:val="none"/>
              </w:rPr>
              <w:t xml:space="preserve">采购项目的潜在供应商应在“扬州市政府</w:t>
            </w:r>
            <w:r>
              <w:rPr>
                <w:rFonts w:hint="eastAsia" w:ascii="宋体" w:hAnsi="宋体" w:cs="宋体"/>
                <w:color w:val="auto"/>
                <w:sz w:val="21"/>
                <w:szCs w:val="21"/>
                <w:highlight w:val="none"/>
              </w:rPr>
              <w:t xml:space="preserve">采购网”和“江苏省政府采购网”和“苏采云系统”获取采购文件，并于</w:t>
            </w:r>
            <w:r>
              <w:rPr>
                <w:rFonts w:hint="eastAsia" w:ascii="宋体" w:hAnsi="宋体" w:cs="宋体"/>
                <w:color w:val="auto"/>
                <w:sz w:val="21"/>
                <w:szCs w:val="21"/>
                <w:highlight w:val="none"/>
              </w:rPr>
              <w:t xml:space="preserve">2025-</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27   09</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rPr>
              <w:t xml:space="preserve">（北京时间）前提交响应文件。</w:t>
            </w:r>
            <w:r/>
          </w:p>
        </w:tc>
      </w:tr>
    </w:tbl>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一、项目基本情况</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：JSZC-321012-JSYS-C2025-0005</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江都区樊川镇大同村2025年度宜居宜业和美乡村建设项目</w:t>
      </w:r>
      <w:r>
        <w:rPr>
          <w:rFonts w:hint="eastAsia" w:ascii="宋体" w:hAnsi="宋体" w:cs="宋体"/>
          <w:color w:val="auto"/>
          <w:sz w:val="21"/>
          <w:szCs w:val="21"/>
          <w:highlight w:val="none"/>
        </w:rPr>
        <w:t xml:space="preserve"> </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采购方式：竞争性磋商 </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318.614485</w:t>
      </w:r>
      <w:r>
        <w:rPr>
          <w:rFonts w:hint="eastAsia" w:ascii="宋体" w:hAnsi="宋体" w:cs="宋体"/>
          <w:color w:val="auto"/>
          <w:sz w:val="21"/>
          <w:szCs w:val="21"/>
          <w:highlight w:val="none"/>
        </w:rPr>
        <w:t xml:space="preserve">万元</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最高限价（如有）：</w:t>
      </w:r>
      <w:r>
        <w:rPr>
          <w:rFonts w:hint="eastAsia" w:ascii="宋体" w:hAnsi="宋体" w:cs="宋体"/>
          <w:color w:val="auto"/>
          <w:sz w:val="21"/>
          <w:szCs w:val="21"/>
          <w:highlight w:val="none"/>
          <w:lang w:val="en-US" w:eastAsia="zh-CN"/>
        </w:rPr>
        <w:t xml:space="preserve">293.125326</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rPr>
        <w:t xml:space="preserve">，供应商的报价高于最高限价的，其投标文件无效。</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采购需求：详见磋商文件第四章</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合同履行期限：</w:t>
      </w:r>
      <w:r>
        <w:rPr>
          <w:rFonts w:hint="eastAsia" w:ascii="宋体" w:hAnsi="宋体" w:cs="宋体"/>
          <w:color w:val="auto"/>
          <w:sz w:val="21"/>
          <w:szCs w:val="21"/>
          <w:highlight w:val="none"/>
          <w:lang w:val="en-US" w:eastAsia="zh-CN"/>
        </w:rPr>
        <w:t xml:space="preserve">50日历天（开工日期以采购人签发开工令的时间为准）</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本项目（是/否）接受联合体：不接受联合体</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二、申请人的资格要求：</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（一）满足《中华人民共和国政府采购法》第二十二条规定：</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1.法人或者其他组织的营业执照等证明文件，自然人的身份证明（身份证为正、反面）</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2.依法缴纳职工社会保障资金的证明材料（可提供“基本资格条件承诺函”）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3.依法纳税的缴款凭证（可提供“基本资格条件承诺函”）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4.具有良好的商业信誉和健全的财务会计制度（可提供“基本资格条件承诺函”）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5.具备履行合同所必需的设备和专业技术能力（可提供“基本资格条件承诺函”）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6.参加本次政府采购活动前3年内在经营活动中没有重大违法记录的书面声明（可提供“基本资格条件承诺函”）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7.未被“信用中国”网站（www.creditchina.gov.cn）、“中国政府采购网”www.ccgp.gov.cn)列入失信被执行人、重大税收违法案件当事人名单、政府采购严重违法失信行为记录名单（可提供“基本资格条件承诺函”）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8.供应商信用承诺函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9.磋商响应函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10.法人授权书</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（二）落实政府采购政策需满足的资格要求：</w:t>
      </w:r>
      <w:r>
        <w:rPr>
          <w:rFonts w:hint="eastAsia" w:ascii="宋体" w:hAnsi="宋体" w:cs="宋体"/>
          <w:i/>
          <w:iCs/>
          <w:color w:val="auto"/>
          <w:sz w:val="21"/>
          <w:szCs w:val="21"/>
          <w:highlight w:val="none"/>
          <w:u w:val="single"/>
        </w:rPr>
        <w:t xml:space="preserve">根据《政府采购促进中小企业发展管理办法》的规定，本项目专门面向中小企业采购，投标人投标时须提供《中小企业</w:t>
      </w:r>
      <w:r>
        <w:rPr>
          <w:rFonts w:hint="eastAsia" w:ascii="宋体" w:hAnsi="宋体" w:cs="宋体"/>
          <w:i/>
          <w:iCs/>
          <w:color w:val="auto"/>
          <w:sz w:val="21"/>
          <w:szCs w:val="21"/>
          <w:highlight w:val="none"/>
          <w:u w:val="single"/>
          <w:lang w:eastAsia="zh-CN"/>
        </w:rPr>
        <w:t xml:space="preserve">声明</w:t>
      </w:r>
      <w:r>
        <w:rPr>
          <w:rFonts w:hint="eastAsia" w:ascii="宋体" w:hAnsi="宋体" w:cs="宋体"/>
          <w:i/>
          <w:iCs/>
          <w:color w:val="auto"/>
          <w:sz w:val="21"/>
          <w:szCs w:val="21"/>
          <w:highlight w:val="none"/>
          <w:u w:val="single"/>
        </w:rPr>
        <w:t xml:space="preserve">函》，《中小企业</w:t>
      </w:r>
      <w:r>
        <w:rPr>
          <w:rFonts w:hint="eastAsia" w:ascii="宋体" w:hAnsi="宋体" w:cs="宋体"/>
          <w:i/>
          <w:iCs/>
          <w:color w:val="auto"/>
          <w:sz w:val="21"/>
          <w:szCs w:val="21"/>
          <w:highlight w:val="none"/>
          <w:u w:val="single"/>
          <w:lang w:eastAsia="zh-CN"/>
        </w:rPr>
        <w:t xml:space="preserve">声明函</w:t>
      </w:r>
      <w:r>
        <w:rPr>
          <w:rFonts w:hint="eastAsia" w:ascii="宋体" w:hAnsi="宋体" w:cs="宋体"/>
          <w:i/>
          <w:iCs/>
          <w:color w:val="auto"/>
          <w:sz w:val="21"/>
          <w:szCs w:val="21"/>
          <w:highlight w:val="none"/>
          <w:u w:val="single"/>
        </w:rPr>
        <w:t xml:space="preserve">》不符合要求或未提供的，投标文件无效。</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（三）本项目的特定资格要求：</w:t>
      </w:r>
      <w:r/>
    </w:p>
    <w:p>
      <w:pPr>
        <w:ind w:firstLine="420"/>
        <w:jc w:val="left"/>
        <w:pageBreakBefore w:val="0"/>
        <w:spacing w:line="360" w:lineRule="auto"/>
        <w:widowControl w:val="off"/>
        <w:rPr>
          <w:rFonts w:hint="eastAsia" w:ascii="宋体" w:hAnsi="宋体" w:cs="宋体"/>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（1）供应商应具备</w:t>
      </w:r>
      <w:r>
        <w:rPr>
          <w:rFonts w:hint="eastAsia" w:ascii="宋体" w:hAnsi="宋体" w:cs="宋体"/>
          <w:i/>
          <w:iCs/>
          <w:color w:val="auto"/>
          <w:sz w:val="21"/>
          <w:szCs w:val="21"/>
          <w:highlight w:val="none"/>
          <w:u w:val="single"/>
          <w:lang w:val="en-US" w:eastAsia="zh-CN"/>
        </w:rPr>
        <w:t xml:space="preserve">市政公用工程总承包三级及以上资质（原件扫描上传）</w:t>
      </w:r>
      <w:r>
        <w:rPr>
          <w:rFonts w:hint="eastAsia" w:ascii="宋体" w:hAnsi="宋体" w:cs="宋体"/>
          <w:i/>
          <w:iCs/>
          <w:color w:val="auto"/>
          <w:sz w:val="21"/>
          <w:szCs w:val="21"/>
          <w:highlight w:val="none"/>
          <w:u w:val="single"/>
          <w:lang w:val="en-US" w:eastAsia="zh-CN"/>
        </w:rPr>
        <w:t xml:space="preserve">；</w:t>
      </w:r>
      <w:r/>
    </w:p>
    <w:p>
      <w:pPr>
        <w:ind w:firstLine="420"/>
        <w:jc w:val="left"/>
        <w:pageBreakBefore w:val="0"/>
        <w:spacing w:line="360" w:lineRule="auto"/>
        <w:widowControl w:val="off"/>
        <w:rPr>
          <w:rFonts w:hint="eastAsia" w:ascii="宋体" w:hAnsi="宋体" w:cs="宋体"/>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（2）供应商具备安全生产条件，并取得有效期内的安全生产许可证（原件扫描上传）；</w:t>
      </w:r>
      <w:r/>
    </w:p>
    <w:p>
      <w:pPr>
        <w:ind w:firstLine="420"/>
        <w:jc w:val="left"/>
        <w:pageBreakBefore w:val="0"/>
        <w:spacing w:line="360" w:lineRule="auto"/>
        <w:widowControl w:val="off"/>
        <w:rPr>
          <w:rFonts w:hint="eastAsia" w:ascii="宋体" w:hAnsi="宋体" w:cs="宋体"/>
          <w:i/>
          <w:iCs/>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（3）拟派项目负责人要求：具有</w:t>
      </w:r>
      <w:r>
        <w:rPr>
          <w:rFonts w:hint="eastAsia" w:ascii="宋体" w:hAnsi="宋体" w:cs="宋体"/>
          <w:i/>
          <w:iCs/>
          <w:color w:val="auto"/>
          <w:sz w:val="21"/>
          <w:szCs w:val="21"/>
          <w:highlight w:val="none"/>
          <w:u w:val="single"/>
          <w:lang w:val="en-US" w:eastAsia="zh-CN"/>
        </w:rPr>
        <w:t xml:space="preserve">市政公用工程专业二级及以上注册建造师并具备有效的安全生产考核合格证书(B证)（原件扫描上传）；</w:t>
      </w:r>
      <w:r/>
    </w:p>
    <w:p>
      <w:pPr>
        <w:ind w:firstLine="420"/>
        <w:jc w:val="left"/>
        <w:pageBreakBefore w:val="0"/>
        <w:spacing w:line="360" w:lineRule="auto"/>
        <w:widowControl w:val="off"/>
        <w:rPr>
          <w:rFonts w:hint="eastAsia" w:ascii="宋体" w:hAnsi="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（4）社保部门出具的近3个月中任意一个月</w:t>
      </w:r>
      <w:r>
        <w:rPr>
          <w:rFonts w:hint="eastAsia" w:ascii="宋体" w:hAnsi="宋体" w:cs="宋体"/>
          <w:i/>
          <w:iCs/>
          <w:color w:val="auto"/>
          <w:sz w:val="21"/>
          <w:szCs w:val="21"/>
          <w:highlight w:val="none"/>
          <w:u w:val="single"/>
        </w:rPr>
        <w:t xml:space="preserve">投标人为</w:t>
      </w:r>
      <w:r>
        <w:rPr>
          <w:rFonts w:hint="eastAsia" w:ascii="宋体" w:hAnsi="宋体" w:cs="宋体"/>
          <w:i/>
          <w:iCs/>
          <w:color w:val="auto"/>
          <w:sz w:val="21"/>
          <w:szCs w:val="21"/>
          <w:highlight w:val="none"/>
          <w:u w:val="single"/>
          <w:lang w:val="en-US" w:eastAsia="zh-CN"/>
        </w:rPr>
        <w:t xml:space="preserve">授权委托人、</w:t>
      </w:r>
      <w:r>
        <w:rPr>
          <w:rFonts w:hint="eastAsia" w:ascii="宋体" w:hAnsi="宋体" w:cs="宋体"/>
          <w:i/>
          <w:iCs/>
          <w:color w:val="auto"/>
          <w:sz w:val="21"/>
          <w:szCs w:val="21"/>
          <w:highlight w:val="none"/>
          <w:u w:val="single"/>
        </w:rPr>
        <w:t xml:space="preserve">拟派项目负责人</w:t>
      </w:r>
      <w:r>
        <w:rPr>
          <w:rFonts w:hint="eastAsia" w:ascii="宋体" w:hAnsi="宋体" w:cs="宋体"/>
          <w:i/>
          <w:iCs/>
          <w:color w:val="auto"/>
          <w:sz w:val="21"/>
          <w:szCs w:val="21"/>
          <w:highlight w:val="none"/>
          <w:u w:val="single"/>
        </w:rPr>
        <w:t xml:space="preserve">缴纳</w:t>
      </w:r>
      <w:r>
        <w:rPr>
          <w:rFonts w:hint="eastAsia" w:ascii="宋体" w:hAnsi="宋体" w:cs="宋体"/>
          <w:i/>
          <w:iCs/>
          <w:color w:val="auto"/>
          <w:sz w:val="21"/>
          <w:szCs w:val="21"/>
          <w:highlight w:val="none"/>
          <w:u w:val="single"/>
          <w:lang w:val="en-US" w:eastAsia="zh-CN"/>
        </w:rPr>
        <w:t xml:space="preserve">在职职工养老保险的证明材料</w:t>
      </w:r>
      <w:r>
        <w:rPr>
          <w:rFonts w:hint="eastAsia" w:ascii="宋体" w:hAnsi="宋体" w:cs="宋体"/>
          <w:i/>
          <w:iCs/>
          <w:color w:val="auto"/>
          <w:sz w:val="21"/>
          <w:szCs w:val="21"/>
          <w:highlight w:val="none"/>
          <w:u w:val="single"/>
        </w:rPr>
        <w:t xml:space="preserve">（</w:t>
      </w:r>
      <w:r>
        <w:rPr>
          <w:rFonts w:hint="eastAsia" w:ascii="宋体" w:hAnsi="宋体" w:cs="宋体"/>
          <w:i/>
          <w:iCs/>
          <w:color w:val="auto"/>
          <w:sz w:val="21"/>
          <w:szCs w:val="21"/>
          <w:highlight w:val="none"/>
          <w:u w:val="single"/>
        </w:rPr>
        <w:t xml:space="preserve">退休返聘人员需提供退休证、返聘合同等证明材料</w:t>
      </w:r>
      <w:r>
        <w:rPr>
          <w:rFonts w:hint="eastAsia" w:ascii="宋体" w:hAnsi="宋体" w:cs="宋体"/>
          <w:i/>
          <w:iCs/>
          <w:color w:val="auto"/>
          <w:sz w:val="21"/>
          <w:szCs w:val="21"/>
          <w:highlight w:val="none"/>
          <w:u w:val="single"/>
          <w:lang w:val="en-US" w:eastAsia="zh-CN"/>
        </w:rPr>
        <w:t xml:space="preserve">;</w:t>
      </w:r>
      <w:r>
        <w:rPr>
          <w:rFonts w:hint="eastAsia" w:ascii="宋体" w:hAnsi="宋体" w:cs="宋体"/>
          <w:i/>
          <w:iCs/>
          <w:color w:val="auto"/>
          <w:sz w:val="21"/>
          <w:szCs w:val="21"/>
          <w:highlight w:val="none"/>
          <w:u w:val="single"/>
        </w:rPr>
        <w:t xml:space="preserve">已取消书面证明采用网上自助查询方式的，如当地社保管理部门明确的最大查询期与</w:t>
      </w:r>
      <w:r>
        <w:rPr>
          <w:rFonts w:hint="eastAsia" w:ascii="宋体" w:hAnsi="宋体" w:cs="宋体"/>
          <w:i/>
          <w:iCs/>
          <w:color w:val="auto"/>
          <w:sz w:val="21"/>
          <w:szCs w:val="21"/>
          <w:highlight w:val="none"/>
          <w:u w:val="single"/>
          <w:lang w:eastAsia="zh-CN"/>
        </w:rPr>
        <w:t xml:space="preserve">采购</w:t>
      </w:r>
      <w:r>
        <w:rPr>
          <w:rFonts w:hint="eastAsia" w:ascii="宋体" w:hAnsi="宋体" w:cs="宋体"/>
          <w:i/>
          <w:iCs/>
          <w:color w:val="auto"/>
          <w:sz w:val="21"/>
          <w:szCs w:val="21"/>
          <w:highlight w:val="none"/>
          <w:u w:val="single"/>
        </w:rPr>
        <w:t xml:space="preserve">公告规定的月份不一致时，须提供社保管理部门的文件规定。）</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rPr>
        <w:t xml:space="preserve">社保证明扫描上传)</w:t>
      </w:r>
      <w:r>
        <w:rPr>
          <w:rFonts w:hint="eastAsia" w:ascii="宋体" w:hAnsi="宋体" w:cs="宋体"/>
          <w:i/>
          <w:iCs/>
          <w:color w:val="auto"/>
          <w:sz w:val="21"/>
          <w:szCs w:val="21"/>
          <w:highlight w:val="none"/>
          <w:u w:val="single"/>
          <w:lang w:eastAsia="zh-CN"/>
        </w:rPr>
        <w:t xml:space="preserve">；</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三、获取采购文件</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时间：自竞争性磋商公告发布之日起5个工作日。5个工作日后，仍可以下载竞争性磋商文件，但不作为供应商权利损害的证明材料和依据</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地点：</w:t>
      </w:r>
      <w:r>
        <w:rPr>
          <w:rFonts w:hint="eastAsia" w:ascii="宋体" w:hAnsi="宋体" w:cs="宋体"/>
          <w:color w:val="auto"/>
          <w:sz w:val="21"/>
          <w:szCs w:val="21"/>
          <w:highlight w:val="none"/>
          <w:lang w:val="en-US" w:eastAsia="zh-CN"/>
        </w:rPr>
        <w:t xml:space="preserve">“扬州市政府采购网”和“江苏省政府采购网”和“苏采云系统”</w:t>
      </w:r>
      <w:r>
        <w:rPr>
          <w:rFonts w:hint="eastAsia" w:ascii="宋体" w:hAnsi="宋体" w:cs="宋体"/>
          <w:color w:val="auto"/>
          <w:sz w:val="21"/>
          <w:szCs w:val="21"/>
          <w:highlight w:val="none"/>
        </w:rPr>
        <w:t xml:space="preserve"> </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方式：本项目采用网上注册登记方式 </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售价：0.00元 </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四、响应文件提交</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截止时间：</w:t>
      </w:r>
      <w:r>
        <w:rPr>
          <w:rFonts w:hint="eastAsia" w:ascii="宋体" w:hAnsi="宋体" w:cs="宋体"/>
          <w:color w:val="auto"/>
          <w:sz w:val="21"/>
          <w:szCs w:val="21"/>
          <w:highlight w:val="none"/>
          <w:lang w:val="en-US" w:eastAsia="zh-CN"/>
        </w:rPr>
        <w:t xml:space="preserve">2025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11</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27 </w:t>
      </w:r>
      <w:r>
        <w:rPr>
          <w:rFonts w:hint="eastAsia" w:ascii="宋体" w:hAnsi="宋体" w:cs="宋体"/>
          <w:color w:val="auto"/>
          <w:sz w:val="21"/>
          <w:szCs w:val="21"/>
          <w:highlight w:val="none"/>
        </w:rPr>
        <w:t xml:space="preserve">09:30 </w:t>
      </w:r>
      <w:r>
        <w:rPr>
          <w:rFonts w:hint="eastAsia" w:ascii="宋体" w:hAnsi="宋体" w:cs="宋体"/>
          <w:color w:val="auto"/>
          <w:sz w:val="21"/>
          <w:szCs w:val="21"/>
          <w:highlight w:val="none"/>
        </w:rPr>
        <w:t xml:space="preserve">（北京时间）</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地点：“苏采云”系统（网址：http://jszfcg.jsczt.cn/）“开标大厅” </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五、开启</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时间：</w:t>
      </w:r>
      <w:r>
        <w:rPr>
          <w:rFonts w:hint="eastAsia" w:ascii="宋体" w:hAnsi="宋体" w:cs="宋体"/>
          <w:color w:val="auto"/>
          <w:sz w:val="21"/>
          <w:szCs w:val="21"/>
          <w:highlight w:val="none"/>
          <w:lang w:val="en-US" w:eastAsia="zh-CN"/>
        </w:rPr>
        <w:t xml:space="preserve">2025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11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27 </w:t>
      </w:r>
      <w:r>
        <w:rPr>
          <w:rFonts w:hint="eastAsia" w:ascii="宋体" w:hAnsi="宋体" w:cs="宋体"/>
          <w:color w:val="auto"/>
          <w:sz w:val="21"/>
          <w:szCs w:val="21"/>
          <w:highlight w:val="none"/>
        </w:rPr>
        <w:t xml:space="preserve"> 09:30</w:t>
      </w:r>
      <w:r>
        <w:rPr>
          <w:rFonts w:hint="eastAsia" w:ascii="宋体" w:hAnsi="宋体" w:cs="宋体"/>
          <w:color w:val="auto"/>
          <w:sz w:val="21"/>
          <w:szCs w:val="21"/>
          <w:highlight w:val="none"/>
        </w:rPr>
        <w:t xml:space="preserve"> （北京时间）</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地点：“苏采云”系统（网址：http://jszfcg.jsczt.cn/）“开标大厅” </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六、公告期限</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自本公告发布之日起3个工作日。</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七、其他补充事宜</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1.拒绝下述供应商参加本次采购活动：</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（1）供应商单位负责人为同一人或者存在直接控股、管理关系的不同供应商，不得参加同一合同项下的政府采购活动。</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（2）凡为采购项目提供整体设计、规范编制或者项目管理、监理、检测等服务的供应商，不得再参加该项目的其他采购活动。</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（3）供应商被“信用中国”网站（www.creditchina.gov.cn）、“中国政府采购网 ”(www.ccgp.gov.cn)列入失信被执行人、重大税收违法案件当事人名单、政府采购严重违法失信行为记录名单。</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2.获取方式：本项目采用网上注册登记方式。</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3.潜在投标人访问政府采购管理交易系统（苏采云）的网络地址和方法：</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（3）“CA数字证书”的办理材料以及供应商操作手册详见：http://zfcg.yangzhou.gov.cn/zfcg/xzzx/202309/4d7de1f7865f4a2894fc22bc452f94d8.shtml。</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（4）潜在供应商访问“苏采云”系统的网络地址和方法：“苏采云”系统的网址：http://jszfcg.jsczt.cn/。</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（6）招标代理机构（采购代理机构）将数据电文形式的采购文件加载至“苏采云”系统，供潜在供应商下载或者查阅。 </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（7）苏采云系统使用谷歌浏览器参与不见面开标。</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4、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2.供应商如确定参加磋商，可自行下载采购文件及有关资料，按照《操作手册》进行注册，领取CA和办理电子签章，并按《操作手册》要求制作、上传电子投标文件，技术支持联系方式：13813140731。</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7.供应商对于投标产品的包装应按照“财办库〔2020〕123号《关于印发《商品包装政府采购需求标准（试行）》、《快递包装政府采购需求标准（试行）》的通知》”执行。</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8.落实好政府采购履约资金扶持政策。中标/成交供应商可凭政府采购合同办理融资贷款，详见江苏政府采购网“政采贷”专栏。</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9.严格执行政府采购关于支持</w:t>
      </w:r>
      <w:r>
        <w:rPr>
          <w:rFonts w:hint="eastAsia" w:ascii="宋体" w:hAnsi="宋体" w:cs="宋体"/>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10.潜在供应商对采购文件项目需求部分的询问、质疑请向采购人提出，由采购人负责答复。</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11.本次采购不收取保证金。</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12.有关本次采购的事项若存在变动或修改，敬请及时关注“扬州市政府采购网”、”江苏省政府采购网”发布的信息。</w:t>
      </w:r>
      <w:r/>
    </w:p>
    <w:p>
      <w:pPr>
        <w:ind w:firstLine="420"/>
        <w:jc w:val="left"/>
        <w:pageBreakBefore w:val="0"/>
        <w:spacing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13.本项目采购文件中所有斜体下划线部分为实质性条款，如不满足，则为无效响应。</w:t>
      </w:r>
      <w:r/>
    </w:p>
    <w:p>
      <w:pPr>
        <w:pStyle w:val="766"/>
        <w:jc w:val="left"/>
        <w:pageBreakBefore w:val="0"/>
        <w:spacing w:before="0"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八、凡对本次采购提出询问，请按以下方式联系。</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1.采购人信息</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采购包1</w:t>
      </w:r>
      <w:r/>
    </w:p>
    <w:p>
      <w:pPr>
        <w:ind w:firstLine="420"/>
        <w:jc w:val="left"/>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单位名称：</w:t>
      </w:r>
      <w:r>
        <w:rPr>
          <w:rFonts w:hint="eastAsia" w:ascii="宋体" w:hAnsi="宋体" w:cs="宋体"/>
          <w:color w:val="auto"/>
          <w:sz w:val="21"/>
          <w:szCs w:val="21"/>
          <w:highlight w:val="none"/>
          <w:lang w:eastAsia="zh-CN"/>
        </w:rPr>
        <w:t xml:space="preserve">扬州市江都区樊川镇人民政府</w:t>
      </w:r>
      <w:r/>
    </w:p>
    <w:p>
      <w:pPr>
        <w:ind w:firstLine="420"/>
        <w:jc w:val="left"/>
        <w:pageBreakBefore w:val="0"/>
        <w:spacing w:line="360" w:lineRule="auto"/>
        <w:widowControl w:val="off"/>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lang w:val="en-US" w:eastAsia="zh-CN"/>
        </w:rPr>
        <w:t xml:space="preserve">扬州市江都区</w:t>
      </w:r>
      <w:r/>
    </w:p>
    <w:p>
      <w:pPr>
        <w:ind w:firstLine="420"/>
        <w:jc w:val="left"/>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联系电话： </w:t>
      </w:r>
      <w:r>
        <w:rPr>
          <w:rFonts w:hint="eastAsia" w:ascii="宋体" w:hAnsi="宋体" w:cs="宋体"/>
          <w:color w:val="auto"/>
          <w:sz w:val="21"/>
          <w:szCs w:val="21"/>
          <w:highlight w:val="none"/>
          <w:lang w:val="en-US" w:eastAsia="zh-CN"/>
        </w:rPr>
        <w:t xml:space="preserve">/</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2.采购代理机构信息（如有）</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单位名称：江苏誉森建设项目管理有限公司</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单位地址：扬州市江都区文昌东路1175号佳源银座7楼706室</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姜</w:t>
      </w:r>
      <w:r>
        <w:rPr>
          <w:rFonts w:hint="eastAsia" w:ascii="宋体" w:hAnsi="宋体" w:cs="宋体"/>
          <w:color w:val="auto"/>
          <w:sz w:val="21"/>
          <w:szCs w:val="21"/>
          <w:highlight w:val="none"/>
        </w:rPr>
        <w:t xml:space="preserve">女士</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联系电话：0514-86356366</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3.项目联系方式</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项目联系人：</w:t>
      </w:r>
      <w:r>
        <w:rPr>
          <w:rFonts w:hint="eastAsia" w:ascii="宋体" w:hAnsi="宋体" w:cs="宋体"/>
          <w:color w:val="auto"/>
          <w:sz w:val="21"/>
          <w:szCs w:val="21"/>
          <w:highlight w:val="none"/>
          <w:lang w:eastAsia="zh-CN"/>
        </w:rPr>
        <w:t xml:space="preserve">姜</w:t>
      </w:r>
      <w:r>
        <w:rPr>
          <w:rFonts w:hint="eastAsia" w:ascii="宋体" w:hAnsi="宋体" w:cs="宋体"/>
          <w:color w:val="auto"/>
          <w:sz w:val="21"/>
          <w:szCs w:val="21"/>
          <w:highlight w:val="none"/>
        </w:rPr>
        <w:t xml:space="preserve">女士</w:t>
      </w:r>
      <w:r/>
    </w:p>
    <w:p>
      <w:pPr>
        <w:ind w:firstLine="420"/>
        <w:jc w:val="left"/>
        <w:pageBreakBefore w:val="0"/>
        <w:spacing w:line="360" w:lineRule="auto"/>
        <w:widowControl w:val="off"/>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电话：0514-86356366</w:t>
      </w:r>
      <w:r/>
    </w:p>
    <w:p>
      <w:pPr>
        <w:rPr>
          <w:rFonts w:ascii="宋体" w:hAnsi="宋体" w:cs="宋体"/>
          <w:color w:val="auto"/>
          <w:highlight w:val="none"/>
        </w:rPr>
      </w:pPr>
      <w:r>
        <w:rPr>
          <w:rFonts w:ascii="宋体" w:hAnsi="宋体" w:cs="宋体"/>
          <w:color w:val="auto"/>
          <w:highlight w:val="none"/>
        </w:rPr>
      </w:r>
      <w:r/>
    </w:p>
    <w:p>
      <w:pPr>
        <w:pStyle w:val="765"/>
        <w:jc w:val="center"/>
        <w:rPr>
          <w:rFonts w:ascii="宋体" w:hAnsi="宋体" w:cs="宋体"/>
          <w:color w:val="auto"/>
          <w:sz w:val="36"/>
          <w:highlight w:val="none"/>
        </w:rPr>
        <w:sectPr>
          <w:footerReference w:type="default" r:id="rId11"/>
          <w:footnotePr/>
          <w:endnotePr/>
          <w:type w:val="nextPage"/>
          <w:pgSz w:w="11906" w:h="16838" w:orient="portrait"/>
          <w:pgMar w:top="1440" w:right="1576" w:bottom="1440" w:left="1800" w:header="851" w:footer="992" w:gutter="0"/>
          <w:pgNumType w:start="1"/>
          <w:cols w:num="1" w:sep="0" w:space="720" w:equalWidth="1"/>
          <w:docGrid w:linePitch="360"/>
        </w:sectPr>
      </w:pPr>
      <w:r>
        <w:rPr>
          <w:rFonts w:ascii="宋体" w:hAnsi="宋体" w:cs="宋体"/>
          <w:color w:val="auto"/>
          <w:sz w:val="36"/>
          <w:highlight w:val="none"/>
        </w:rPr>
      </w:r>
      <w:r/>
    </w:p>
    <w:p>
      <w:pPr>
        <w:pStyle w:val="765"/>
        <w:jc w:val="center"/>
        <w:rPr>
          <w:rFonts w:ascii="宋体" w:hAnsi="宋体" w:cs="宋体"/>
          <w:color w:val="auto"/>
          <w:sz w:val="36"/>
          <w:highlight w:val="none"/>
        </w:rPr>
      </w:pPr>
      <w:r>
        <w:rPr>
          <w:rFonts w:hint="eastAsia" w:ascii="宋体" w:hAnsi="宋体" w:cs="宋体"/>
          <w:color w:val="auto"/>
          <w:sz w:val="36"/>
          <w:highlight w:val="none"/>
        </w:rPr>
        <w:t xml:space="preserve">第二章 磋商须知</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1、采购方式</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 本次采购采取竞争性磋商方式，本采购文件仅适用于</w:t>
      </w:r>
      <w:r>
        <w:rPr>
          <w:rFonts w:hint="eastAsia" w:ascii="宋体" w:hAnsi="宋体" w:cs="宋体"/>
          <w:color w:val="auto"/>
          <w:highlight w:val="none"/>
          <w:lang w:eastAsia="zh-CN"/>
        </w:rPr>
        <w:t xml:space="preserve">JSZC-321012-JSYS-C2025-0005</w:t>
      </w:r>
      <w:r>
        <w:rPr>
          <w:rFonts w:hint="eastAsia" w:ascii="宋体" w:hAnsi="宋体" w:cs="宋体"/>
          <w:color w:val="auto"/>
          <w:highlight w:val="none"/>
        </w:rPr>
        <w:t xml:space="preserve">号项目。</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w:t>
      </w:r>
      <w:r/>
    </w:p>
    <w:p>
      <w:pPr>
        <w:pStyle w:val="768"/>
        <w:ind w:left="0" w:firstLine="420"/>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 参加竞争性磋商的供应商以下简称“供应商”，是指参加磋商并符合采购文件规定资格条件的法人、其他组织或者自然人。</w:t>
      </w:r>
      <w:r/>
    </w:p>
    <w:p>
      <w:pPr>
        <w:pStyle w:val="768"/>
        <w:ind w:left="0" w:firstLine="420"/>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2.2合格的供应商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2.2.2 满足本文件实质性条款的规定。</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3、适用法律</w:t>
      </w:r>
      <w:r/>
    </w:p>
    <w:p>
      <w:pPr>
        <w:pStyle w:val="768"/>
        <w:ind w:left="0" w:firstLine="420"/>
        <w:jc w:val="both"/>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 本次采购及由此产生的合同受中华人民共和国有关的法律法规制约和保护。</w:t>
      </w:r>
      <w:r/>
    </w:p>
    <w:p>
      <w:pPr>
        <w:ind w:left="0" w:firstLine="422"/>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4、参加磋商费用</w:t>
      </w:r>
      <w:r/>
    </w:p>
    <w:p>
      <w:pPr>
        <w:ind w:left="0" w:firstLine="420"/>
        <w:pageBreakBefore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4.1 供应商应自行承担所有与参加磋商有关的费用，无论磋商过程中的做法和结果如何，江苏誉森建设项目管理有限公司(以下简称代理机构)在任何情况下均无义务和责任承担这些费用。</w:t>
      </w:r>
      <w:r/>
    </w:p>
    <w:p>
      <w:pPr>
        <w:ind w:firstLine="420"/>
        <w:spacing w:line="360" w:lineRule="auto"/>
        <w:rPr>
          <w:rFonts w:ascii="宋体" w:hAnsi="宋体"/>
          <w:b/>
          <w:color w:val="auto"/>
          <w:highlight w:val="none"/>
        </w:rPr>
      </w:pPr>
      <w:r>
        <w:rPr>
          <w:rFonts w:hint="eastAsia" w:ascii="宋体" w:hAnsi="宋体" w:cs="Times New Roman"/>
          <w:color w:val="auto"/>
          <w:highlight w:val="none"/>
        </w:rPr>
        <w:t xml:space="preserve">4.</w:t>
      </w:r>
      <w:r>
        <w:rPr>
          <w:rFonts w:hint="eastAsia" w:ascii="宋体" w:hAnsi="宋体"/>
          <w:color w:val="auto"/>
          <w:highlight w:val="none"/>
          <w:lang w:eastAsia="zh-CN"/>
        </w:rPr>
        <w:t xml:space="preserve">2本</w:t>
      </w:r>
      <w:r>
        <w:rPr>
          <w:rFonts w:hint="eastAsia" w:ascii="宋体" w:hAnsi="宋体" w:eastAsia="宋体"/>
          <w:color w:val="auto"/>
          <w:highlight w:val="none"/>
          <w:lang w:eastAsia="zh-CN"/>
        </w:rPr>
        <w:t xml:space="preserve">项目招标代理及造价咨询费由中标供应商在领取《</w:t>
      </w:r>
      <w:r>
        <w:rPr>
          <w:rFonts w:hint="eastAsia" w:ascii="宋体" w:hAnsi="宋体"/>
          <w:color w:val="auto"/>
          <w:highlight w:val="none"/>
          <w:lang w:eastAsia="zh-CN"/>
        </w:rPr>
        <w:t xml:space="preserve">成交</w:t>
      </w:r>
      <w:r>
        <w:rPr>
          <w:rFonts w:hint="eastAsia" w:ascii="宋体" w:hAnsi="宋体" w:eastAsia="宋体"/>
          <w:color w:val="auto"/>
          <w:highlight w:val="none"/>
          <w:lang w:eastAsia="zh-CN"/>
        </w:rPr>
        <w:t xml:space="preserve">通知书》时向代理机构支付，计费标准按</w:t>
      </w:r>
      <w:r>
        <w:rPr>
          <w:rFonts w:hint="eastAsia" w:ascii="宋体" w:hAnsi="宋体" w:eastAsia="宋体"/>
          <w:color w:val="auto"/>
          <w:highlight w:val="none"/>
          <w:lang w:val="zh-CN" w:eastAsia="zh-CN"/>
        </w:rPr>
        <w:t xml:space="preserve">苏建价协【2022】7号文件</w:t>
      </w:r>
      <w:r>
        <w:rPr>
          <w:rFonts w:hint="eastAsia" w:ascii="宋体" w:hAnsi="宋体" w:eastAsia="宋体"/>
          <w:color w:val="auto"/>
          <w:highlight w:val="none"/>
          <w:lang w:val="en-US" w:eastAsia="zh-CN"/>
        </w:rPr>
        <w:t xml:space="preserve">和</w:t>
      </w:r>
      <w:r>
        <w:rPr>
          <w:rFonts w:hint="eastAsia" w:ascii="宋体" w:hAnsi="宋体" w:eastAsia="宋体"/>
          <w:color w:val="auto"/>
          <w:highlight w:val="none"/>
          <w:lang w:val="zh-CN" w:eastAsia="zh-CN"/>
        </w:rPr>
        <w:t xml:space="preserve">苏招协【2022】002号文件</w:t>
      </w:r>
      <w:r>
        <w:rPr>
          <w:rFonts w:hint="eastAsia" w:ascii="宋体" w:hAnsi="宋体" w:eastAsia="宋体"/>
          <w:color w:val="auto"/>
          <w:highlight w:val="none"/>
          <w:lang w:eastAsia="zh-CN"/>
        </w:rPr>
        <w:t xml:space="preserve">精神执行，此费</w:t>
      </w:r>
      <w:r>
        <w:rPr>
          <w:rFonts w:hint="eastAsia" w:ascii="宋体" w:hAnsi="宋体"/>
          <w:color w:val="auto"/>
          <w:highlight w:val="none"/>
          <w:lang w:eastAsia="zh-CN"/>
        </w:rPr>
        <w:t xml:space="preserve">用含在总报价中，不单列。</w:t>
      </w:r>
      <w:r/>
    </w:p>
    <w:p>
      <w:pPr>
        <w:ind w:firstLine="420"/>
        <w:spacing w:line="360" w:lineRule="auto"/>
        <w:rPr>
          <w:rFonts w:ascii="Calibri" w:hAnsi="Calibri"/>
          <w:color w:val="auto"/>
          <w:highlight w:val="none"/>
        </w:rPr>
      </w:pPr>
      <w:r>
        <w:rPr>
          <w:rFonts w:hint="eastAsia" w:ascii="Calibri" w:hAnsi="Calibri"/>
          <w:color w:val="auto"/>
          <w:highlight w:val="none"/>
        </w:rPr>
        <w:t xml:space="preserve">（1）代理服</w:t>
      </w:r>
      <w:r>
        <w:rPr>
          <w:rFonts w:ascii="Calibri" w:hAnsi="Calibri"/>
          <w:color w:val="auto"/>
          <w:highlight w:val="none"/>
        </w:rPr>
        <w:t xml:space="preserve">务费以人民币支付； </w:t>
      </w:r>
      <w:r/>
    </w:p>
    <w:p>
      <w:pPr>
        <w:ind w:firstLine="420"/>
        <w:spacing w:line="360" w:lineRule="auto"/>
        <w:rPr>
          <w:rFonts w:ascii="Calibri" w:hAnsi="Calibri"/>
          <w:color w:val="auto"/>
          <w:highlight w:val="none"/>
        </w:rPr>
      </w:pPr>
      <w:r>
        <w:rPr>
          <w:rFonts w:ascii="Calibri" w:hAnsi="Calibri"/>
          <w:color w:val="auto"/>
          <w:highlight w:val="none"/>
        </w:rPr>
        <w:t xml:space="preserve">（2）代理服务费一次性以电汇、转账等非现金形式支付； </w:t>
      </w:r>
      <w:r/>
    </w:p>
    <w:p>
      <w:pPr>
        <w:ind w:firstLine="420"/>
        <w:spacing w:line="360" w:lineRule="auto"/>
        <w:rPr>
          <w:rFonts w:ascii="Calibri" w:hAnsi="Calibri"/>
          <w:color w:val="auto"/>
          <w:highlight w:val="none"/>
        </w:rPr>
      </w:pPr>
      <w:r>
        <w:rPr>
          <w:rFonts w:ascii="Calibri" w:hAnsi="Calibri"/>
          <w:color w:val="auto"/>
          <w:highlight w:val="none"/>
        </w:rPr>
        <w:t xml:space="preserve">（3）招标代理服务费不在投标报价中单列，包含在投标总价中。 </w:t>
      </w:r>
      <w:r/>
    </w:p>
    <w:p>
      <w:pPr>
        <w:ind w:firstLine="420"/>
        <w:spacing w:line="360" w:lineRule="auto"/>
        <w:rPr>
          <w:rFonts w:hint="eastAsia" w:eastAsia="宋体"/>
          <w:color w:val="auto"/>
          <w:highlight w:val="none"/>
        </w:rPr>
      </w:pPr>
      <w:r>
        <w:rPr>
          <w:rFonts w:hint="eastAsia" w:eastAsia="宋体"/>
          <w:color w:val="auto"/>
          <w:highlight w:val="none"/>
        </w:rPr>
        <w:t xml:space="preserve">名         称：</w:t>
      </w:r>
      <w:r>
        <w:rPr>
          <w:rFonts w:hint="eastAsia" w:eastAsia="宋体"/>
          <w:color w:val="auto"/>
          <w:highlight w:val="none"/>
          <w:lang w:eastAsia="zh-CN"/>
        </w:rPr>
        <w:t xml:space="preserve">江苏誉森建设项目管理有限公司</w:t>
      </w:r>
      <w:r>
        <w:rPr>
          <w:rFonts w:hint="eastAsia" w:eastAsia="宋体"/>
          <w:color w:val="auto"/>
          <w:highlight w:val="none"/>
        </w:rPr>
        <w:t xml:space="preserve"> </w:t>
      </w:r>
      <w:r/>
    </w:p>
    <w:p>
      <w:pPr>
        <w:ind w:firstLine="420"/>
        <w:spacing w:line="360" w:lineRule="auto"/>
        <w:rPr>
          <w:rFonts w:hint="eastAsia" w:eastAsia="宋体"/>
          <w:color w:val="auto"/>
          <w:highlight w:val="none"/>
          <w:lang w:val="en-US" w:eastAsia="zh-CN"/>
        </w:rPr>
      </w:pPr>
      <w:r>
        <w:rPr>
          <w:rFonts w:hint="eastAsia" w:eastAsia="宋体"/>
          <w:color w:val="auto"/>
          <w:highlight w:val="none"/>
        </w:rPr>
        <w:t xml:space="preserve">开   户   行：</w:t>
      </w:r>
      <w:r>
        <w:rPr>
          <w:rFonts w:hint="eastAsia" w:eastAsia="宋体"/>
          <w:color w:val="auto"/>
          <w:highlight w:val="none"/>
          <w:lang w:val="en-US" w:eastAsia="zh-CN"/>
        </w:rPr>
        <w:t xml:space="preserve">招商银行股份有限公司江都支行</w:t>
      </w:r>
      <w:r/>
    </w:p>
    <w:p>
      <w:pPr>
        <w:ind w:firstLine="420"/>
        <w:spacing w:line="360" w:lineRule="auto"/>
        <w:rPr>
          <w:rFonts w:hint="eastAsia" w:eastAsia="宋体"/>
          <w:color w:val="auto"/>
          <w:highlight w:val="none"/>
          <w:lang w:val="en-US" w:eastAsia="zh-CN"/>
        </w:rPr>
      </w:pPr>
      <w:r>
        <w:rPr>
          <w:rFonts w:hint="eastAsia" w:eastAsia="宋体"/>
          <w:color w:val="auto"/>
          <w:highlight w:val="none"/>
        </w:rPr>
        <w:t xml:space="preserve">银 行 帐 号： </w:t>
      </w:r>
      <w:r>
        <w:rPr>
          <w:rFonts w:hint="eastAsia" w:eastAsia="宋体"/>
          <w:color w:val="auto"/>
          <w:highlight w:val="none"/>
          <w:lang w:val="en-US" w:eastAsia="zh-CN"/>
        </w:rPr>
        <w:t xml:space="preserve">613900365010555</w:t>
      </w:r>
      <w:r/>
    </w:p>
    <w:p>
      <w:pPr>
        <w:ind w:left="0"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专家评审费按扬财购【2020】40 号文《关于进一步规范扬州市政府采购专家评审费标准的通知》执行。</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5、采购文件的约束力</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6、采购文件构成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6.1 采购文件有以下部分组成：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（1）采购公告</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（3）合同条款及格式</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（4）项目需求</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（5）评审方法与评审标准</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（6）竞争性磋商响应文件格式</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采购文件的澄清</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采购文件的修改</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8.2采购文件的修改将在“</w:t>
      </w:r>
      <w:r>
        <w:rPr>
          <w:rFonts w:hint="eastAsia" w:ascii="宋体" w:hAnsi="宋体" w:cs="宋体"/>
          <w:color w:val="auto"/>
          <w:highlight w:val="none"/>
          <w:lang w:eastAsia="zh-CN"/>
        </w:rPr>
        <w:t xml:space="preserve">江都区政府采购网</w:t>
      </w:r>
      <w:r>
        <w:rPr>
          <w:rFonts w:hint="eastAsia" w:ascii="宋体" w:hAnsi="宋体" w:cs="宋体"/>
          <w:color w:val="auto"/>
          <w:highlight w:val="none"/>
        </w:rPr>
        <w:t xml:space="preserve">”、“扬州市政府采购网”、“江苏省政府采购网”公布，补充文件将作为采购文件的组成部分，并对供应商具有约束力。</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9、采购文件的语言、度量衡单位、货币</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10、响应文件构成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10.1投标文件由以下部分组成：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10.1.1资格审查响应对照表</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10.1.2符合性审查响应对照表</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10.1.3其他 （供应商认为有必要提供的声明和文件，如有自拟并自行添加）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10.2 供应商应当根据采购文件要求编制响应文件，响应文件应对采购文件提出的要求和条件作出响应，并在相应的响应文件中逐条标明满足与否。</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11、证明供应商资格及符合采购文件规定的文件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12、磋商响应报价表</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12.2 标的物</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采购人招标范围内所有内容。</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12.3其它费用处理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left="0" w:firstLine="422"/>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13、技术参数响应及偏离表、商务条款响应及偏离表及磋商服务说明（如有）</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13.2 提供参加本项目类似案例简介；</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left="0" w:firstLine="422"/>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14、服务承诺及售后服务机构、人员的情况介绍（如有）</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left="0"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15、磋商响应函</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16、磋商响应有效期</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b/>
          <w:bCs/>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bookmarkStart w:id="0" w:name="_Toc16938541"/>
      <w:r/>
      <w:bookmarkStart w:id="1" w:name="_Toc20823297"/>
      <w:r>
        <w:rPr>
          <w:rFonts w:hint="eastAsia" w:ascii="宋体" w:hAnsi="宋体" w:eastAsia="宋体" w:cs="宋体"/>
          <w:color w:val="auto"/>
          <w:sz w:val="21"/>
          <w:szCs w:val="21"/>
          <w:highlight w:val="none"/>
        </w:rPr>
        <w:t xml:space="preserve">17、响应文件</w:t>
      </w:r>
      <w:bookmarkEnd w:id="0"/>
      <w:r/>
      <w:bookmarkEnd w:id="1"/>
      <w:r>
        <w:rPr>
          <w:rFonts w:hint="eastAsia" w:ascii="宋体" w:hAnsi="宋体" w:eastAsia="宋体" w:cs="宋体"/>
          <w:color w:val="auto"/>
          <w:sz w:val="21"/>
          <w:szCs w:val="21"/>
          <w:highlight w:val="none"/>
        </w:rPr>
        <w:t xml:space="preserve">的递交</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2" w:name="_Toc16938542"/>
      <w:r/>
      <w:bookmarkStart w:id="3" w:name="_Toc20823298"/>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17.2政府采购管理交易系统（苏采云）相关要求是本采购文件的组成部分。</w:t>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17.3供应商应对 CA 证书妥善保管，如被他人盗用投标，因此带来的结果均由供应商自行承担。</w:t>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17.4供应商应当对采购文件提出的要求和条件作出实质性响应，并在电子投标系统逐条应答。</w:t>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17.5供应商应对要求提供的资格证明文件（如资质证书、资格证书）、技术资料（如白皮书、彩页、手册、检测报告等）扫描上传至投标系统。</w:t>
      </w:r>
      <w:r/>
    </w:p>
    <w:p>
      <w:pPr>
        <w:pStyle w:val="1049"/>
        <w:ind w:left="0" w:firstLine="422"/>
        <w:pageBreakBefore w:val="0"/>
        <w:spacing w:line="360" w:lineRule="auto"/>
        <w:widowControl w:val="off"/>
        <w:rPr>
          <w:rFonts w:ascii="宋体" w:hAnsi="宋体" w:cs="宋体"/>
          <w:b/>
          <w:bCs/>
          <w:color w:val="auto"/>
          <w:sz w:val="21"/>
          <w:highlight w:val="none"/>
        </w:rPr>
      </w:pPr>
      <w:r>
        <w:rPr>
          <w:rFonts w:hint="eastAsia" w:ascii="宋体" w:hAnsi="宋体" w:cs="宋体"/>
          <w:b/>
          <w:bCs/>
          <w:color w:val="auto"/>
          <w:sz w:val="21"/>
          <w:highlight w:val="none"/>
        </w:rPr>
        <w:t xml:space="preserve">17.6各供应商应在规定时间内凭CA证书进行网上解密。</w:t>
      </w:r>
      <w:r/>
    </w:p>
    <w:p>
      <w:pPr>
        <w:pStyle w:val="1049"/>
        <w:ind w:left="0" w:firstLine="442"/>
        <w:pageBreakBefore w:val="0"/>
        <w:spacing w:line="360" w:lineRule="auto"/>
        <w:rPr>
          <w:rFonts w:ascii="宋体" w:hAnsi="宋体" w:cs="宋体"/>
          <w:bCs/>
          <w:color w:val="auto"/>
          <w:sz w:val="24"/>
          <w:highlight w:val="none"/>
        </w:rPr>
      </w:pPr>
      <w:r>
        <w:rPr>
          <w:rFonts w:hint="eastAsia" w:ascii="宋体" w:hAnsi="宋体" w:cs="宋体"/>
          <w:b/>
          <w:bCs/>
          <w:color w:val="auto"/>
          <w:highlight w:val="none"/>
        </w:rPr>
        <w:t xml:space="preserve">18、磋商响应截止日期</w:t>
      </w:r>
      <w:bookmarkEnd w:id="2"/>
      <w:r/>
      <w:bookmarkEnd w:id="3"/>
      <w:r/>
      <w:r/>
    </w:p>
    <w:p>
      <w:pPr>
        <w:ind w:left="0" w:firstLine="420"/>
        <w:jc w:val="left"/>
        <w:pageBreakBefore w:val="0"/>
        <w:spacing w:line="360" w:lineRule="auto"/>
        <w:rPr>
          <w:rFonts w:ascii="宋体" w:hAnsi="宋体" w:cs="宋体"/>
          <w:bCs/>
          <w:i/>
          <w:color w:val="auto"/>
          <w:highlight w:val="none"/>
          <w:u w:val="single"/>
        </w:rPr>
      </w:pPr>
      <w:r>
        <w:rPr>
          <w:rFonts w:hint="eastAsia" w:ascii="宋体" w:hAnsi="宋体" w:cs="宋体"/>
          <w:i/>
          <w:color w:val="auto"/>
          <w:highlight w:val="none"/>
          <w:u w:val="single"/>
        </w:rPr>
        <w:t xml:space="preserve">18.1</w:t>
      </w:r>
      <w:r>
        <w:rPr>
          <w:rFonts w:hint="eastAsia" w:ascii="宋体" w:hAnsi="宋体" w:cs="宋体"/>
          <w:bCs/>
          <w:i/>
          <w:color w:val="auto"/>
          <w:highlight w:val="none"/>
          <w:u w:val="single"/>
        </w:rPr>
        <w:t xml:space="preserve"> 供应商上传电子响应文件的时间不得迟于采购公告中规定的磋商响应截止时间。</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bookmarkStart w:id="4" w:name="_Toc16938543"/>
      <w:r/>
      <w:bookmarkStart w:id="5" w:name="_Toc20823299"/>
      <w:r>
        <w:rPr>
          <w:rFonts w:hint="eastAsia" w:ascii="宋体" w:hAnsi="宋体" w:eastAsia="宋体" w:cs="宋体"/>
          <w:color w:val="auto"/>
          <w:sz w:val="21"/>
          <w:szCs w:val="21"/>
          <w:highlight w:val="none"/>
        </w:rPr>
        <w:t xml:space="preserve">19、响应文件</w:t>
      </w:r>
      <w:bookmarkEnd w:id="4"/>
      <w:r/>
      <w:bookmarkEnd w:id="5"/>
      <w:r>
        <w:rPr>
          <w:rFonts w:hint="eastAsia" w:ascii="宋体" w:hAnsi="宋体" w:eastAsia="宋体" w:cs="宋体"/>
          <w:color w:val="auto"/>
          <w:sz w:val="21"/>
          <w:szCs w:val="21"/>
          <w:highlight w:val="none"/>
        </w:rPr>
        <w:t xml:space="preserve">的拒收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bookmarkStart w:id="6" w:name="_Toc20823300"/>
      <w:r/>
      <w:bookmarkStart w:id="7" w:name="_Toc16938544"/>
      <w:r>
        <w:rPr>
          <w:rFonts w:hint="eastAsia" w:ascii="宋体" w:hAnsi="宋体" w:eastAsia="宋体" w:cs="宋体"/>
          <w:color w:val="auto"/>
          <w:sz w:val="21"/>
          <w:szCs w:val="21"/>
          <w:highlight w:val="none"/>
        </w:rPr>
        <w:t xml:space="preserve">20、响应文件的撤回和修改</w:t>
      </w:r>
      <w:bookmarkEnd w:id="6"/>
      <w:r/>
      <w:bookmarkEnd w:id="7"/>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20.1 响应文件的撤回</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20.1.1 电子响应文件的撤回</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20.2 响应文件的修改</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21、磋商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22、磋商小组</w:t>
      </w:r>
      <w:r/>
    </w:p>
    <w:p>
      <w:pPr>
        <w:ind w:left="0" w:firstLine="420"/>
        <w:jc w:val="left"/>
        <w:pageBreakBefore w:val="0"/>
        <w:spacing w:line="360" w:lineRule="auto"/>
        <w:rPr>
          <w:rFonts w:ascii="宋体" w:hAnsi="宋体" w:cs="宋体"/>
          <w:b/>
          <w:bCs/>
          <w:color w:val="auto"/>
          <w:highlight w:val="none"/>
        </w:rPr>
      </w:pPr>
      <w:r>
        <w:rPr>
          <w:rFonts w:hint="eastAsia" w:ascii="宋体" w:hAnsi="宋体" w:cs="宋体"/>
          <w:color w:val="auto"/>
          <w:highlight w:val="none"/>
        </w:rPr>
        <w:t xml:space="preserve">22.1</w:t>
      </w:r>
      <w:r>
        <w:rPr>
          <w:rFonts w:hint="eastAsia" w:ascii="宋体" w:hAnsi="宋体" w:cs="宋体"/>
          <w:b/>
          <w:bCs/>
          <w:color w:val="auto"/>
          <w:highlight w:val="none"/>
        </w:rPr>
        <w:t xml:space="preserve"> </w:t>
      </w:r>
      <w:r>
        <w:rPr>
          <w:rFonts w:hint="eastAsia" w:ascii="宋体" w:hAnsi="宋体" w:cs="宋体"/>
          <w:color w:val="auto"/>
          <w:highlight w:val="none"/>
        </w:rPr>
        <w:t xml:space="preserve">磋商开始后，代理机构将立即组织磋商小组进行评审。</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23、评审过程的保密与公正</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24、磋商的澄清</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中做出澄清，澄清的内容作为响应文件的补充部分。具体操作方式见</w:t>
      </w:r>
      <w:r>
        <w:rPr>
          <w:rFonts w:hint="eastAsia" w:ascii="宋体" w:hAnsi="宋体" w:cs="宋体"/>
          <w:bCs/>
          <w:color w:val="auto"/>
          <w:highlight w:val="none"/>
        </w:rPr>
        <w:t xml:space="preserve">《操作手册》</w:t>
      </w:r>
      <w:r>
        <w:rPr>
          <w:rFonts w:hint="eastAsia" w:ascii="宋体" w:hAnsi="宋体" w:cs="宋体"/>
          <w:color w:val="auto"/>
          <w:highlight w:val="none"/>
        </w:rPr>
        <w:t xml:space="preserve">。</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25、对响应文件的初审</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采购人在进行资格性审查的同时，将在“信用中国”网站（www.creditchina.gov.cn）、“中国政府采购网”(www.ccgp.gov.cn)对供应商是否被列入失信被执行人、重大税收违法案件当事人名单、政府采购严重失信行为记录名单情况进行查询，以确定供应商是否具备投标资格。查询结果将以网页打印的形式留存并归档。</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中告知未通过资格审查或符合性审查的原因，评审结束后，代理机构将不再告知未通过资格审查或符合性审查的原因。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left="0" w:firstLine="422"/>
        <w:jc w:val="left"/>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26、磋商程序及评审方法和标准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26.1磋商程序</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26.2 评审方法和标准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26.2.2评审标准</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见本采购文件第五章规定。</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26.2.3评审委员会依据扬财购【2025】7号文启动异常低价投标（响应）审查的情形和具体要求，包括：</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（一）评审中出现下列情形之一的，评审委员会应当启动异常低价投标（响应）审查程序：</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①投标（响应）报价低于采购项目预算50%的，即投标（响应）报价＜采购项目预算×50%；</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②投标（响应）报价低于采购项目最高限价45%的，即投标（响应）报价＜采购项目最高限价×45%；</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③评审委员会认定的供应商报价过低、有可能影响产品质量或者不能诚信履约的其他情形。</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二）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2"/>
        <w:jc w:val="left"/>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27、无效投标及采购活动终止的情况</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27.1无效投标条款</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27.1.1 供应商未按照采购文件要求上传电子磋商响应文件的。</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27.1.2 供应商未成功解密电子磋商响应文件的。</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27.1.3 供应商不具备采购文件中规定资格要求的。</w:t>
      </w:r>
      <w:r/>
    </w:p>
    <w:p>
      <w:pPr>
        <w:ind w:left="0" w:firstLine="420"/>
        <w:pageBreakBefore w:val="0"/>
        <w:spacing w:line="360" w:lineRule="auto"/>
        <w:rPr>
          <w:rFonts w:ascii="宋体" w:hAnsi="宋体" w:cs="宋体"/>
          <w:bCs/>
          <w:i/>
          <w:color w:val="auto"/>
          <w:highlight w:val="none"/>
          <w:u w:val="single"/>
        </w:rPr>
      </w:pPr>
      <w:r>
        <w:rPr>
          <w:rFonts w:hint="eastAsia" w:ascii="宋体" w:hAnsi="宋体" w:cs="宋体"/>
          <w:bCs/>
          <w:color w:val="auto"/>
          <w:highlight w:val="none"/>
        </w:rPr>
        <w:t xml:space="preserve">27.1.4 未通过符合性审查的。</w:t>
      </w:r>
      <w:r/>
    </w:p>
    <w:p>
      <w:pPr>
        <w:ind w:left="0" w:firstLine="420"/>
        <w:pageBreakBefore w:val="0"/>
        <w:spacing w:line="360" w:lineRule="auto"/>
        <w:rPr>
          <w:rFonts w:ascii="宋体" w:hAnsi="宋体" w:cs="宋体"/>
          <w:bCs/>
          <w:i/>
          <w:color w:val="auto"/>
          <w:highlight w:val="none"/>
          <w:u w:val="single"/>
        </w:rPr>
      </w:pPr>
      <w:r>
        <w:rPr>
          <w:rFonts w:hint="eastAsia" w:ascii="宋体" w:hAnsi="宋体" w:cs="宋体"/>
          <w:bCs/>
          <w:color w:val="auto"/>
          <w:highlight w:val="none"/>
        </w:rPr>
        <w:t xml:space="preserve">27.1.5 不符合采购文件中规定的其他实质性要求和条件的（</w:t>
      </w:r>
      <w:r>
        <w:rPr>
          <w:rFonts w:hint="eastAsia" w:ascii="宋体" w:hAnsi="宋体" w:cs="宋体"/>
          <w:bCs/>
          <w:i/>
          <w:color w:val="auto"/>
          <w:highlight w:val="none"/>
          <w:u w:val="single"/>
        </w:rPr>
        <w:t xml:space="preserve">本采购文件中斜体且有下划线部分为实质性要求和条件）。</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27.1.6 </w:t>
      </w:r>
      <w:r>
        <w:rPr>
          <w:rFonts w:hint="eastAsia" w:ascii="宋体" w:hAnsi="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left="0" w:firstLine="420"/>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27.1.8 响应文件未按照采购文件要求加盖电子签章。</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27.1.9 其他法律、法规及本采购文件规定的属无效投标的情形。</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 </w:t>
      </w:r>
      <w:r>
        <w:rPr>
          <w:rFonts w:hint="eastAsia" w:ascii="宋体" w:hAnsi="宋体" w:cs="宋体"/>
          <w:color w:val="auto"/>
          <w:highlight w:val="none"/>
        </w:rPr>
        <w:t xml:space="preserve">采购活动终止的情况</w:t>
      </w:r>
      <w:r>
        <w:rPr>
          <w:rFonts w:hint="eastAsia" w:ascii="宋体" w:hAnsi="宋体" w:cs="宋体"/>
          <w:bCs/>
          <w:color w:val="auto"/>
          <w:highlight w:val="none"/>
        </w:rPr>
        <w:t xml:space="preserve">：</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27.2.1 因情况变化，不再符合规定的竞争性磋商采购方式适用情形的；</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27.2.2 出现影响采购公正的违法、违规行为的；</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27.2.3 </w:t>
      </w:r>
      <w:r>
        <w:rPr>
          <w:rFonts w:hint="eastAsia" w:ascii="宋体" w:hAnsi="宋体" w:cs="宋体"/>
          <w:color w:val="auto"/>
          <w:highlight w:val="none"/>
        </w:rPr>
        <w:t xml:space="preserve">除本磋商文件第26.1.2条第三款规定的情形外，在采购过程中符合要求的供应商或者报价未超过采购预算的供应商不足3家的。</w:t>
      </w:r>
      <w:r/>
    </w:p>
    <w:p>
      <w:pPr>
        <w:ind w:left="0" w:firstLine="420"/>
        <w:jc w:val="left"/>
        <w:pageBreakBefore w:val="0"/>
        <w:spacing w:line="360" w:lineRule="auto"/>
        <w:rPr>
          <w:rFonts w:ascii="宋体" w:hAnsi="宋体" w:cs="宋体"/>
          <w:bCs/>
          <w:color w:val="auto"/>
          <w:highlight w:val="none"/>
        </w:rPr>
      </w:pPr>
      <w:r>
        <w:rPr>
          <w:rFonts w:hint="eastAsia" w:ascii="宋体" w:hAnsi="宋体" w:cs="宋体"/>
          <w:bCs/>
          <w:color w:val="auto"/>
          <w:highlight w:val="none"/>
        </w:rPr>
        <w:t xml:space="preserve">27.2.4 因重大变故，采购任务取消的。</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28、确定成交单位</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28.3 代理机构将在“</w:t>
      </w:r>
      <w:r>
        <w:rPr>
          <w:rFonts w:hint="eastAsia" w:ascii="宋体" w:hAnsi="宋体" w:cs="宋体"/>
          <w:color w:val="auto"/>
          <w:highlight w:val="none"/>
          <w:lang w:eastAsia="zh-CN"/>
        </w:rPr>
        <w:t xml:space="preserve">江都区政府采购网</w:t>
      </w:r>
      <w:r>
        <w:rPr>
          <w:rFonts w:hint="eastAsia" w:ascii="宋体" w:hAnsi="宋体" w:cs="宋体"/>
          <w:color w:val="auto"/>
          <w:highlight w:val="none"/>
        </w:rPr>
        <w:t xml:space="preserve">”、“扬州市政府采购网”、“江苏省政府采购网”发布成交公告，公告期限为1个工作日。</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28.4.1 提供虚假材料谋取成交的；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28.4.7 不符合法律、法规的规定的。</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29、质疑处理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 以下情形的质疑不予受理</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29.8.2 超出政府采购法定期限的质疑。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pStyle w:val="768"/>
        <w:ind w:left="0" w:firstLine="422"/>
        <w:jc w:val="left"/>
        <w:pageBreakBefore w:val="0"/>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30、成交通知书</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30.l</w:t>
      </w:r>
      <w:r>
        <w:rPr>
          <w:rFonts w:hint="eastAsia" w:ascii="宋体" w:hAnsi="宋体" w:cs="宋体"/>
          <w:b/>
          <w:bCs/>
          <w:color w:val="auto"/>
          <w:highlight w:val="none"/>
        </w:rPr>
        <w:t xml:space="preserve"> </w:t>
      </w:r>
      <w:r>
        <w:rPr>
          <w:rFonts w:hint="eastAsia" w:ascii="宋体" w:hAnsi="宋体" w:cs="宋体"/>
          <w:color w:val="auto"/>
          <w:highlight w:val="none"/>
        </w:rPr>
        <w:t xml:space="preserve">成交结果确定后，代理机构将向成交供应商发出成通知书。</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68"/>
        <w:ind w:left="0" w:firstLine="422"/>
        <w:jc w:val="left"/>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color w:val="auto"/>
          <w:sz w:val="21"/>
          <w:szCs w:val="21"/>
          <w:highlight w:val="none"/>
        </w:rPr>
        <w:t xml:space="preserve">签订合同</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31.l成交供应商应在成交通知书发出之日起十五日内，按照采购文件确定的事项与采购人签订政府采购合同。</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31.2</w:t>
      </w:r>
      <w:r>
        <w:rPr>
          <w:rFonts w:hint="eastAsia" w:ascii="宋体" w:hAnsi="宋体" w:cs="宋体"/>
          <w:b/>
          <w:bCs/>
          <w:color w:val="auto"/>
          <w:highlight w:val="none"/>
        </w:rPr>
        <w:t xml:space="preserve"> </w:t>
      </w:r>
      <w:r>
        <w:rPr>
          <w:rFonts w:hint="eastAsia" w:ascii="宋体" w:hAnsi="宋体" w:cs="宋体"/>
          <w:color w:val="auto"/>
          <w:highlight w:val="none"/>
        </w:rPr>
        <w:t xml:space="preserve">采购文件、成交供应商的响应文件及磋商过程中有关澄清、承诺文件均应作为合同附件。</w:t>
      </w:r>
      <w:r/>
    </w:p>
    <w:p>
      <w:pPr>
        <w:ind w:left="0"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31.3 签订合同后，</w:t>
      </w:r>
      <w:r>
        <w:rPr>
          <w:rFonts w:hint="eastAsia" w:ascii="宋体" w:hAnsi="宋体" w:cs="宋体"/>
          <w:i/>
          <w:iCs/>
          <w:color w:val="auto"/>
          <w:highlight w:val="none"/>
          <w:u w:val="single"/>
        </w:rPr>
        <w:t xml:space="preserve">成交供应商不得将货物或服务及其他服务进行转包</w:t>
      </w:r>
      <w:r>
        <w:rPr>
          <w:rFonts w:hint="eastAsia" w:ascii="宋体" w:hAnsi="宋体" w:cs="宋体"/>
          <w:color w:val="auto"/>
          <w:highlight w:val="none"/>
        </w:rPr>
        <w:t xml:space="preserve">。未经采购人同意，成交供应商也不得采用分包的形式履行合同，否则采购人有权终止合同。转包或分包造成采购人损失的，成交供应商应承担赔偿责任。</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768"/>
        <w:ind w:left="0" w:firstLine="422"/>
        <w:jc w:val="left"/>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32、其他</w:t>
      </w:r>
      <w:r/>
    </w:p>
    <w:p>
      <w:pPr>
        <w:ind w:left="0" w:firstLine="420"/>
        <w:jc w:val="left"/>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32.1 依据《政府采购促进中小企业发展管理办法》享受享受扶持政策获得政府采购合同的，小微企业不得将合同分包给大中型企业，中型企业不得将合同分包给大型企业。</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bookmarkStart w:id="8" w:name="_Toc436989824"/>
      <w:r>
        <w:rPr>
          <w:rFonts w:ascii="宋体" w:hAnsi="宋体" w:cs="宋体"/>
          <w:color w:val="auto"/>
          <w:highlight w:val="none"/>
        </w:rPr>
        <w:br w:type="page" w:clear="all"/>
      </w:r>
      <w:r/>
    </w:p>
    <w:p>
      <w:pPr>
        <w:pStyle w:val="767"/>
        <w:rPr>
          <w:color w:val="auto"/>
          <w:highlight w:val="none"/>
        </w:rPr>
      </w:pPr>
      <w:r>
        <w:rPr>
          <w:color w:val="auto"/>
          <w:highlight w:val="none"/>
        </w:rPr>
      </w:r>
      <w:r/>
    </w:p>
    <w:p>
      <w:pPr>
        <w:ind w:right="-155" w:firstLine="630"/>
        <w:jc w:val="center"/>
        <w:spacing w:line="360" w:lineRule="auto"/>
        <w:rPr>
          <w:rFonts w:ascii="宋体" w:hAnsi="宋体" w:cs="宋体"/>
          <w:color w:val="auto"/>
          <w:highlight w:val="none"/>
        </w:rPr>
      </w:pPr>
      <w:r>
        <w:rPr>
          <w:rFonts w:hint="eastAsia" w:ascii="宋体" w:hAnsi="宋体" w:cs="宋体"/>
          <w:b/>
          <w:bCs/>
          <w:color w:val="auto"/>
          <w:sz w:val="32"/>
          <w:szCs w:val="32"/>
          <w:highlight w:val="none"/>
        </w:rPr>
        <w:t xml:space="preserve">第三章 合同主要条款</w:t>
      </w:r>
      <w:r/>
    </w:p>
    <w:p>
      <w:pPr>
        <w:rPr>
          <w:rFonts w:ascii="宋体" w:hAnsi="宋体" w:cs="宋体"/>
          <w:color w:val="auto"/>
          <w:sz w:val="20"/>
          <w:highlight w:val="none"/>
        </w:rPr>
      </w:pPr>
      <w:r/>
      <w:bookmarkStart w:id="9" w:name="EB93daf5515d4e4473a30d41c7baf92939"/>
      <w:r/>
      <w:bookmarkEnd w:id="9"/>
      <w:r/>
      <w:r/>
    </w:p>
    <w:p>
      <w:pPr>
        <w:pStyle w:val="790"/>
        <w:ind w:firstLine="400"/>
        <w:keepLines w:val="0"/>
        <w:keepNext w:val="0"/>
        <w:pageBreakBefore w:val="0"/>
        <w:spacing w:line="360" w:lineRule="auto"/>
        <w:rPr>
          <w:rFonts w:hint="eastAsia" w:hAnsi="宋体" w:cs="宋体"/>
          <w:bCs/>
          <w:color w:val="auto"/>
          <w:sz w:val="21"/>
          <w:szCs w:val="21"/>
          <w:highlight w:val="none"/>
        </w:rPr>
      </w:pPr>
      <w:r>
        <w:rPr>
          <w:rFonts w:hint="eastAsia" w:hAnsi="宋体" w:cs="宋体"/>
          <w:bCs/>
          <w:color w:val="auto"/>
          <w:sz w:val="21"/>
          <w:szCs w:val="21"/>
          <w:highlight w:val="none"/>
        </w:rPr>
        <w:t xml:space="preserve">以下为成交后签定本项目合同的通用条款，成交供应商不得提出实质性的修改，关于专用条款将由采购人与成交供应商结合本项目具体情况协商后签订。</w:t>
      </w:r>
      <w:r/>
    </w:p>
    <w:p>
      <w:pPr>
        <w:rPr>
          <w:rFonts w:eastAsia="仿宋_GB2312"/>
          <w:bCs/>
          <w:color w:val="auto"/>
          <w:sz w:val="32"/>
          <w:szCs w:val="32"/>
          <w:highlight w:val="none"/>
        </w:rPr>
      </w:pPr>
      <w:r>
        <w:rPr>
          <w:rFonts w:eastAsia="仿宋_GB2312"/>
          <w:bCs/>
          <w:color w:val="auto"/>
          <w:sz w:val="32"/>
          <w:szCs w:val="32"/>
          <w:highlight w:val="none"/>
        </w:rPr>
      </w:r>
      <w:r/>
    </w:p>
    <w:p>
      <w:pPr>
        <w:rPr>
          <w:rFonts w:eastAsia="仿宋_GB2312"/>
          <w:bCs/>
          <w:color w:val="auto"/>
          <w:sz w:val="32"/>
          <w:szCs w:val="32"/>
          <w:highlight w:val="none"/>
        </w:rPr>
      </w:pPr>
      <w:r>
        <w:rPr>
          <w:rFonts w:eastAsia="仿宋_GB2312"/>
          <w:bCs/>
          <w:color w:val="auto"/>
          <w:sz w:val="32"/>
          <w:szCs w:val="32"/>
          <w:highlight w:val="none"/>
        </w:rPr>
      </w:r>
      <w:r/>
    </w:p>
    <w:p>
      <w:pPr>
        <w:rPr>
          <w:rFonts w:eastAsia="仿宋_GB2312"/>
          <w:bCs/>
          <w:color w:val="auto"/>
          <w:sz w:val="32"/>
          <w:szCs w:val="32"/>
          <w:highlight w:val="none"/>
        </w:rPr>
      </w:pPr>
      <w:r>
        <w:rPr>
          <w:rFonts w:eastAsia="仿宋_GB2312"/>
          <w:bCs/>
          <w:color w:val="auto"/>
          <w:sz w:val="32"/>
          <w:szCs w:val="32"/>
          <w:highlight w:val="none"/>
        </w:rPr>
        <w:t xml:space="preserve">（GF—201</w:t>
      </w:r>
      <w:r>
        <w:rPr>
          <w:rFonts w:hint="eastAsia" w:eastAsia="仿宋_GB2312"/>
          <w:bCs/>
          <w:color w:val="auto"/>
          <w:sz w:val="32"/>
          <w:szCs w:val="32"/>
          <w:highlight w:val="none"/>
        </w:rPr>
        <w:t xml:space="preserve">7</w:t>
      </w:r>
      <w:r>
        <w:rPr>
          <w:rFonts w:eastAsia="仿宋_GB2312"/>
          <w:bCs/>
          <w:color w:val="auto"/>
          <w:sz w:val="32"/>
          <w:szCs w:val="32"/>
          <w:highlight w:val="none"/>
        </w:rPr>
        <w:t xml:space="preserve">—</w:t>
      </w:r>
      <w:r>
        <w:rPr>
          <w:rFonts w:hint="eastAsia" w:eastAsia="仿宋_GB2312"/>
          <w:bCs/>
          <w:color w:val="auto"/>
          <w:sz w:val="32"/>
          <w:szCs w:val="32"/>
          <w:highlight w:val="none"/>
        </w:rPr>
        <w:t xml:space="preserve">0201）</w:t>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hint="eastAsia" w:eastAsia="华文中宋"/>
          <w:b/>
          <w:color w:val="auto"/>
          <w:sz w:val="72"/>
          <w:szCs w:val="52"/>
          <w:highlight w:val="none"/>
          <w:lang w:eastAsia="zh-CN"/>
        </w:rPr>
      </w:pPr>
      <w:r>
        <w:rPr>
          <w:rFonts w:eastAsia="华文中宋"/>
          <w:b/>
          <w:color w:val="auto"/>
          <w:sz w:val="72"/>
          <w:szCs w:val="52"/>
          <w:highlight w:val="none"/>
        </w:rPr>
        <w:t xml:space="preserve">建设工程施工合同</w:t>
      </w:r>
      <w:r/>
    </w:p>
    <w:p>
      <w:pPr>
        <w:pStyle w:val="766"/>
        <w:rPr>
          <w:rFonts w:hint="eastAsia"/>
          <w:color w:val="auto"/>
          <w:highlight w:val="none"/>
          <w:lang w:eastAsia="zh-CN"/>
        </w:rPr>
      </w:pPr>
      <w:r>
        <w:rPr>
          <w:rFonts w:hint="eastAsia"/>
          <w:color w:val="auto"/>
          <w:highlight w:val="none"/>
          <w:lang w:eastAsia="zh-CN"/>
        </w:rPr>
      </w:r>
      <w:r/>
    </w:p>
    <w:p>
      <w:pPr>
        <w:pStyle w:val="833"/>
        <w:ind w:firstLine="420"/>
        <w:rPr>
          <w:color w:val="auto"/>
          <w:highlight w:val="none"/>
        </w:rPr>
      </w:pPr>
      <w:r>
        <w:rPr>
          <w:color w:val="auto"/>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ind w:right="2719"/>
        <w:rPr>
          <w:b/>
          <w:color w:val="auto"/>
          <w:sz w:val="28"/>
          <w:szCs w:val="28"/>
          <w:highlight w:val="none"/>
        </w:rPr>
      </w:pPr>
      <w:r>
        <w:rPr>
          <w:b/>
          <w:color w:val="auto"/>
          <w:sz w:val="28"/>
          <w:szCs w:val="28"/>
          <w:highlight w:val="none"/>
        </w:rPr>
      </w:r>
      <w:r/>
    </w:p>
    <w:p>
      <w:pPr>
        <w:ind w:right="2719"/>
        <w:jc w:val="center"/>
        <w:rPr>
          <w:b/>
          <w:color w:val="auto"/>
          <w:sz w:val="32"/>
          <w:szCs w:val="28"/>
          <w:highlight w:val="none"/>
        </w:rPr>
      </w:pPr>
      <w:r>
        <w:rPr>
          <w:color w:val="auto"/>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b/>
                                <w:bCs/>
                                <w:sz w:val="32"/>
                                <w:lang w:val="en-US" w:eastAsia="zh-CN"/>
                              </w:rPr>
                              <w:t xml:space="preserve"> </w:t>
                            </w:r>
                            <w:r>
                              <w:rPr>
                                <w:rFonts w:hint="eastAsia"/>
                                <w:b/>
                                <w:bCs/>
                                <w:sz w:val="32"/>
                              </w:rPr>
                              <w:t xml:space="preserve">制定</w:t>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lang w:val="en-US" w:eastAsia="zh-CN"/>
                        </w:rPr>
                        <w:t xml:space="preserve"> </w:t>
                      </w:r>
                      <w:r>
                        <w:rPr>
                          <w:rFonts w:hint="eastAsia"/>
                          <w:b/>
                          <w:bCs/>
                          <w:sz w:val="32"/>
                        </w:rPr>
                        <w:t xml:space="preserve">制定</w:t>
                      </w:r>
                      <w:r/>
                    </w:p>
                  </w:txbxContent>
                </v:textbox>
              </v:shape>
            </w:pict>
          </mc:Fallback>
        </mc:AlternateContent>
      </w:r>
      <w:r>
        <w:rPr>
          <w:rFonts w:hint="eastAsia"/>
          <w:b/>
          <w:color w:val="auto"/>
          <w:sz w:val="28"/>
          <w:szCs w:val="28"/>
          <w:highlight w:val="none"/>
        </w:rPr>
        <w:t xml:space="preserve">                                 </w:t>
      </w:r>
      <w:r>
        <w:rPr>
          <w:b/>
          <w:color w:val="auto"/>
          <w:sz w:val="32"/>
          <w:szCs w:val="28"/>
          <w:highlight w:val="none"/>
        </w:rPr>
        <w:t xml:space="preserve">住房城乡建设部</w:t>
      </w:r>
      <w:r/>
    </w:p>
    <w:p>
      <w:pPr>
        <w:ind w:right="2719" w:firstLine="2233"/>
        <w:rPr>
          <w:b/>
          <w:color w:val="auto"/>
          <w:sz w:val="32"/>
          <w:szCs w:val="28"/>
          <w:highlight w:val="none"/>
        </w:rPr>
      </w:pPr>
      <w:r>
        <w:rPr>
          <w:b/>
          <w:color w:val="auto"/>
          <w:sz w:val="32"/>
          <w:szCs w:val="28"/>
          <w:highlight w:val="none"/>
        </w:rPr>
        <w:t xml:space="preserve">国家工商行政管理总局</w:t>
      </w:r>
      <w:r/>
    </w:p>
    <w:p>
      <w:pPr>
        <w:rPr>
          <w:rFonts w:ascii="华文中宋" w:hAnsi="华文中宋" w:eastAsia="华文中宋"/>
          <w:color w:val="auto"/>
          <w:sz w:val="28"/>
          <w:szCs w:val="28"/>
          <w:highlight w:val="none"/>
        </w:rPr>
      </w:pPr>
      <w:r/>
      <w:bookmarkStart w:id="10" w:name="_Toc296890982"/>
      <w:r/>
      <w:bookmarkStart w:id="11" w:name="_Toc296503025"/>
      <w:r/>
      <w:bookmarkStart w:id="12" w:name="_Toc351203480"/>
      <w:r>
        <w:rPr>
          <w:rFonts w:ascii="华文中宋" w:hAnsi="华文中宋" w:eastAsia="华文中宋"/>
          <w:color w:val="auto"/>
          <w:sz w:val="28"/>
          <w:szCs w:val="28"/>
          <w:highlight w:val="none"/>
        </w:rPr>
        <w:br w:type="page" w:clear="all"/>
      </w:r>
      <w:r/>
    </w:p>
    <w:p>
      <w:pPr>
        <w:pStyle w:val="1170"/>
        <w:jc w:val="center"/>
        <w:spacing w:before="0" w:after="0" w:line="240" w:lineRule="auto"/>
        <w:rPr>
          <w:rFonts w:ascii="华文中宋" w:hAnsi="华文中宋" w:eastAsia="华文中宋"/>
          <w:color w:val="auto"/>
          <w:sz w:val="28"/>
          <w:szCs w:val="28"/>
          <w:highlight w:val="none"/>
        </w:rPr>
        <w:outlineLvl w:val="0"/>
      </w:pPr>
      <w:r>
        <w:rPr>
          <w:rFonts w:ascii="华文中宋" w:hAnsi="华文中宋" w:eastAsia="华文中宋"/>
          <w:color w:val="auto"/>
          <w:sz w:val="28"/>
          <w:szCs w:val="28"/>
          <w:highlight w:val="none"/>
        </w:rPr>
        <w:t xml:space="preserve">第一部分 合同协议书</w:t>
      </w:r>
      <w:bookmarkEnd w:id="10"/>
      <w:r/>
      <w:bookmarkEnd w:id="11"/>
      <w:r/>
      <w:bookmarkEnd w:id="12"/>
      <w:r/>
      <w:r/>
    </w:p>
    <w:p>
      <w:pPr>
        <w:rPr>
          <w:color w:val="auto"/>
          <w:highlight w:val="none"/>
        </w:rPr>
      </w:pPr>
      <w:r>
        <w:rPr>
          <w:color w:val="auto"/>
          <w:highlight w:val="none"/>
        </w:rPr>
      </w:r>
      <w:r/>
    </w:p>
    <w:p>
      <w:pPr>
        <w:pStyle w:val="1132"/>
        <w:spacing w:line="360" w:lineRule="auto"/>
        <w:rPr>
          <w:rFonts w:ascii="宋体" w:hAnsi="宋体"/>
          <w:color w:val="auto"/>
          <w:sz w:val="21"/>
          <w:szCs w:val="21"/>
          <w:highlight w:val="none"/>
          <w:u w:val="single"/>
        </w:rPr>
      </w:pPr>
      <w:r/>
      <w:bookmarkStart w:id="13" w:name="_Toc351203484"/>
      <w:r>
        <w:rPr>
          <w:rFonts w:hint="eastAsia" w:ascii="宋体" w:hAnsi="宋体"/>
          <w:b/>
          <w:color w:val="auto"/>
          <w:sz w:val="21"/>
          <w:szCs w:val="21"/>
          <w:highlight w:val="none"/>
        </w:rPr>
        <w:t xml:space="preserve">发包人（全称）：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扬州市江都区樊川镇人民政府</w:t>
      </w:r>
      <w:r>
        <w:rPr>
          <w:rFonts w:hint="eastAsia" w:ascii="宋体" w:hAnsi="宋体"/>
          <w:color w:val="auto"/>
          <w:sz w:val="21"/>
          <w:szCs w:val="21"/>
          <w:highlight w:val="none"/>
          <w:u w:val="single"/>
        </w:rPr>
        <w:t xml:space="preserve">                     </w:t>
      </w:r>
      <w:r/>
    </w:p>
    <w:p>
      <w:pPr>
        <w:pStyle w:val="1132"/>
        <w:spacing w:line="360" w:lineRule="auto"/>
        <w:rPr>
          <w:rFonts w:ascii="宋体" w:hAnsi="宋体"/>
          <w:color w:val="auto"/>
          <w:sz w:val="21"/>
          <w:szCs w:val="21"/>
          <w:highlight w:val="none"/>
          <w:u w:val="single"/>
        </w:rPr>
      </w:pPr>
      <w:r>
        <w:rPr>
          <w:rFonts w:hint="eastAsia" w:ascii="宋体" w:hAnsi="宋体"/>
          <w:b/>
          <w:color w:val="auto"/>
          <w:sz w:val="21"/>
          <w:szCs w:val="21"/>
          <w:highlight w:val="none"/>
        </w:rPr>
        <w:t xml:space="preserve">承包人（全称）：</w:t>
      </w:r>
      <w:r>
        <w:rPr>
          <w:rFonts w:hint="eastAsia" w:ascii="宋体" w:hAnsi="宋体"/>
          <w:b/>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i w:val="0"/>
          <w:iCs w:val="0"/>
          <w:caps w:val="0"/>
          <w:color w:val="auto"/>
          <w:spacing w:val="0"/>
          <w:sz w:val="21"/>
          <w:szCs w:val="21"/>
          <w:highlight w:val="none"/>
          <w:u w:val="single"/>
          <w:shd w:val="clear" w:color="auto" w:fill="ffffff"/>
          <w:lang w:eastAsia="zh-CN"/>
        </w:rPr>
        <w:t xml:space="preserve">江都区樊川镇大同村2025年度宜居宜业和美乡村建设项目 </w:t>
      </w:r>
      <w:r>
        <w:rPr>
          <w:rFonts w:hint="eastAsia" w:ascii="宋体" w:hAnsi="宋体"/>
          <w:color w:val="auto"/>
          <w:sz w:val="21"/>
          <w:szCs w:val="21"/>
          <w:highlight w:val="none"/>
        </w:rPr>
        <w:t xml:space="preserve">及有关事项协商一致，共同达成如下协议： </w:t>
      </w:r>
      <w:r/>
    </w:p>
    <w:p>
      <w:pPr>
        <w:pStyle w:val="1132"/>
        <w:spacing w:line="360" w:lineRule="auto"/>
        <w:rPr>
          <w:rFonts w:ascii="宋体" w:hAnsi="宋体"/>
          <w:b/>
          <w:color w:val="auto"/>
          <w:sz w:val="21"/>
          <w:szCs w:val="21"/>
          <w:highlight w:val="none"/>
        </w:rPr>
      </w:pPr>
      <w:r/>
      <w:bookmarkStart w:id="14" w:name="_Toc404776699"/>
      <w:r>
        <w:rPr>
          <w:rFonts w:hint="eastAsia" w:ascii="宋体" w:hAnsi="宋体"/>
          <w:b/>
          <w:color w:val="auto"/>
          <w:sz w:val="21"/>
          <w:szCs w:val="21"/>
          <w:highlight w:val="none"/>
        </w:rPr>
        <w:t xml:space="preserve">一、工程概况</w:t>
      </w:r>
      <w:bookmarkEnd w:id="14"/>
      <w:r/>
      <w:r/>
    </w:p>
    <w:p>
      <w:pPr>
        <w:pStyle w:val="1132"/>
        <w:ind w:firstLine="411"/>
        <w:spacing w:line="360" w:lineRule="auto"/>
        <w:rPr>
          <w:rFonts w:hint="eastAsia" w:ascii="宋体" w:hAnsi="宋体" w:eastAsia="宋体"/>
          <w:color w:val="auto"/>
          <w:sz w:val="21"/>
          <w:szCs w:val="21"/>
          <w:highlight w:val="none"/>
          <w:u w:val="single"/>
          <w:lang w:eastAsia="zh-CN"/>
        </w:rPr>
      </w:pPr>
      <w:r>
        <w:rPr>
          <w:rFonts w:hint="eastAsia" w:ascii="宋体" w:hAnsi="宋体"/>
          <w:bCs/>
          <w:color w:val="auto"/>
          <w:sz w:val="21"/>
          <w:szCs w:val="21"/>
          <w:highlight w:val="none"/>
        </w:rPr>
        <w:t xml:space="preserve">1.工程名称</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lang w:eastAsia="zh-CN"/>
        </w:rPr>
        <w:t xml:space="preserve">江都区樊川镇大同村2025年度宜居宜业和美乡村建设项目</w:t>
      </w:r>
      <w:r/>
    </w:p>
    <w:p>
      <w:pPr>
        <w:pStyle w:val="1132"/>
        <w:ind w:firstLine="411"/>
        <w:spacing w:line="360" w:lineRule="auto"/>
        <w:rPr>
          <w:rFonts w:hint="default" w:ascii="宋体" w:hAnsi="宋体" w:eastAsia="宋体"/>
          <w:color w:val="auto"/>
          <w:sz w:val="21"/>
          <w:szCs w:val="21"/>
          <w:highlight w:val="none"/>
          <w:u w:val="single"/>
          <w:lang w:val="en-US" w:eastAsia="zh-CN"/>
        </w:rPr>
      </w:pPr>
      <w:r>
        <w:rPr>
          <w:rFonts w:hint="eastAsia" w:ascii="宋体" w:hAnsi="宋体"/>
          <w:bCs/>
          <w:color w:val="auto"/>
          <w:sz w:val="21"/>
          <w:szCs w:val="21"/>
          <w:highlight w:val="none"/>
        </w:rPr>
        <w:t xml:space="preserve">2.工程地点：</w:t>
      </w:r>
      <w:bookmarkStart w:id="15" w:name="EBfc2a3480bb91446a892b8265b2c37d80"/>
      <w:r>
        <w:rPr>
          <w:rFonts w:hint="eastAsia" w:ascii="宋体" w:hAnsi="宋体"/>
          <w:color w:val="auto"/>
          <w:sz w:val="21"/>
          <w:szCs w:val="21"/>
          <w:highlight w:val="none"/>
          <w:u w:val="single"/>
        </w:rPr>
        <w:t xml:space="preserve">扬州市江都区</w:t>
      </w:r>
      <w:bookmarkEnd w:id="15"/>
      <w:r>
        <w:rPr>
          <w:rFonts w:hint="eastAsia" w:ascii="宋体" w:hAnsi="宋体"/>
          <w:color w:val="auto"/>
          <w:sz w:val="21"/>
          <w:szCs w:val="21"/>
          <w:highlight w:val="none"/>
          <w:u w:val="single"/>
          <w:lang w:val="en-US" w:eastAsia="zh-CN"/>
        </w:rPr>
        <w:t xml:space="preserve">樊川镇</w:t>
      </w:r>
      <w:r/>
    </w:p>
    <w:p>
      <w:pPr>
        <w:pStyle w:val="1132"/>
        <w:ind w:firstLine="411"/>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3.工程立项批准文号：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11"/>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4.资金来源：</w:t>
      </w:r>
      <w:r>
        <w:rPr>
          <w:rFonts w:hint="eastAsia" w:ascii="宋体" w:hAnsi="宋体"/>
          <w:color w:val="auto"/>
          <w:sz w:val="21"/>
          <w:szCs w:val="21"/>
          <w:highlight w:val="none"/>
          <w:u w:val="single"/>
        </w:rPr>
        <w:t xml:space="preserve">财政</w:t>
      </w:r>
      <w:r/>
    </w:p>
    <w:p>
      <w:pPr>
        <w:pStyle w:val="1132"/>
        <w:ind w:firstLine="411"/>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5.工程内容： </w:t>
      </w:r>
      <w:r>
        <w:rPr>
          <w:rFonts w:hint="eastAsia" w:ascii="宋体" w:hAnsi="宋体"/>
          <w:color w:val="auto"/>
          <w:sz w:val="21"/>
          <w:szCs w:val="21"/>
          <w:highlight w:val="none"/>
          <w:u w:val="single"/>
        </w:rPr>
        <w:t xml:space="preserve">图纸及清单范围内的全部内容</w:t>
      </w:r>
      <w:r/>
    </w:p>
    <w:p>
      <w:pPr>
        <w:pStyle w:val="1132"/>
        <w:ind w:firstLine="411"/>
        <w:spacing w:line="360" w:lineRule="auto"/>
        <w:rPr>
          <w:rFonts w:ascii="宋体" w:hAnsi="宋体"/>
          <w:color w:val="auto"/>
          <w:sz w:val="21"/>
          <w:szCs w:val="21"/>
          <w:highlight w:val="none"/>
          <w:u w:val="single"/>
        </w:rPr>
      </w:pPr>
      <w:r>
        <w:rPr>
          <w:rFonts w:hint="eastAsia" w:ascii="宋体" w:hAnsi="宋体"/>
          <w:bCs/>
          <w:color w:val="auto"/>
          <w:sz w:val="21"/>
          <w:szCs w:val="21"/>
          <w:highlight w:val="none"/>
        </w:rPr>
        <w:t xml:space="preserve">6.工程承包范围：</w:t>
      </w:r>
      <w:bookmarkStart w:id="16" w:name="_Toc404776700"/>
      <w:r>
        <w:rPr>
          <w:rFonts w:hint="eastAsia" w:ascii="宋体" w:hAnsi="宋体"/>
          <w:color w:val="auto"/>
          <w:sz w:val="21"/>
          <w:szCs w:val="21"/>
          <w:highlight w:val="none"/>
          <w:u w:val="single"/>
        </w:rPr>
        <w:t xml:space="preserve">图纸及清单范围内的全部内容（详见施工图纸及工程量清单）</w:t>
      </w:r>
      <w:r/>
    </w:p>
    <w:p>
      <w:pPr>
        <w:pStyle w:val="1132"/>
        <w:spacing w:line="360" w:lineRule="auto"/>
        <w:rPr>
          <w:rFonts w:ascii="宋体" w:hAnsi="宋体"/>
          <w:b/>
          <w:color w:val="auto"/>
          <w:sz w:val="21"/>
          <w:szCs w:val="21"/>
          <w:highlight w:val="none"/>
          <w:u w:val="single"/>
        </w:rPr>
      </w:pPr>
      <w:r>
        <w:rPr>
          <w:rFonts w:hint="eastAsia" w:ascii="宋体" w:hAnsi="宋体"/>
          <w:b/>
          <w:color w:val="auto"/>
          <w:sz w:val="21"/>
          <w:szCs w:val="21"/>
          <w:highlight w:val="none"/>
        </w:rPr>
        <w:t xml:space="preserve">二、合同工期</w:t>
      </w:r>
      <w:bookmarkEnd w:id="16"/>
      <w:r/>
      <w:r/>
    </w:p>
    <w:p>
      <w:pPr>
        <w:pStyle w:val="1132"/>
        <w:ind w:firstLine="411"/>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计划开工日期：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年    月   日 </w:t>
      </w:r>
      <w:r/>
    </w:p>
    <w:p>
      <w:pPr>
        <w:pStyle w:val="1132"/>
        <w:ind w:firstLine="411"/>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计划竣工日期：</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年    月   日 </w:t>
      </w:r>
      <w:r/>
    </w:p>
    <w:p>
      <w:pPr>
        <w:pStyle w:val="1132"/>
        <w:ind w:firstLine="411"/>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工期总日历天数：</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日历天。工期总日历天数与根据前述计划开竣工日期计算的工期天数不一致的，以工期总日历天数为准。具体开工时间以开工报告为准。</w:t>
      </w:r>
      <w:r/>
    </w:p>
    <w:p>
      <w:pPr>
        <w:pStyle w:val="1132"/>
        <w:spacing w:line="360" w:lineRule="auto"/>
        <w:rPr>
          <w:rFonts w:ascii="宋体" w:hAnsi="宋体"/>
          <w:b/>
          <w:color w:val="auto"/>
          <w:sz w:val="21"/>
          <w:szCs w:val="21"/>
          <w:highlight w:val="none"/>
        </w:rPr>
      </w:pPr>
      <w:r/>
      <w:bookmarkStart w:id="17" w:name="_Toc404776701"/>
      <w:r>
        <w:rPr>
          <w:rFonts w:hint="eastAsia" w:ascii="宋体" w:hAnsi="宋体"/>
          <w:b/>
          <w:color w:val="auto"/>
          <w:sz w:val="21"/>
          <w:szCs w:val="21"/>
          <w:highlight w:val="none"/>
        </w:rPr>
        <w:t xml:space="preserve">三、质量标准</w:t>
      </w:r>
      <w:bookmarkEnd w:id="17"/>
      <w:r/>
      <w:r/>
    </w:p>
    <w:p>
      <w:pPr>
        <w:pStyle w:val="1132"/>
        <w:ind w:firstLine="459"/>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工程质量符合</w:t>
      </w:r>
      <w:r>
        <w:rPr>
          <w:rFonts w:hint="eastAsia" w:ascii="宋体" w:hAnsi="宋体"/>
          <w:color w:val="auto"/>
          <w:sz w:val="21"/>
          <w:szCs w:val="21"/>
          <w:highlight w:val="none"/>
          <w:u w:val="single"/>
        </w:rPr>
        <w:t xml:space="preserve">合格</w:t>
      </w:r>
      <w:r>
        <w:rPr>
          <w:rFonts w:hint="eastAsia" w:ascii="宋体" w:hAnsi="宋体"/>
          <w:color w:val="auto"/>
          <w:sz w:val="21"/>
          <w:szCs w:val="21"/>
          <w:highlight w:val="none"/>
        </w:rPr>
        <w:t xml:space="preserve">标准。</w:t>
      </w:r>
      <w:bookmarkEnd w:id="13"/>
      <w:r/>
      <w:r/>
    </w:p>
    <w:p>
      <w:pPr>
        <w:pStyle w:val="1132"/>
        <w:spacing w:line="360" w:lineRule="auto"/>
        <w:rPr>
          <w:rFonts w:ascii="宋体" w:hAnsi="宋体"/>
          <w:b/>
          <w:color w:val="auto"/>
          <w:sz w:val="21"/>
          <w:szCs w:val="21"/>
          <w:highlight w:val="none"/>
        </w:rPr>
      </w:pPr>
      <w:r/>
      <w:bookmarkStart w:id="18" w:name="_Toc404776702"/>
      <w:r>
        <w:rPr>
          <w:rFonts w:hint="eastAsia" w:ascii="宋体" w:hAnsi="宋体"/>
          <w:b/>
          <w:color w:val="auto"/>
          <w:sz w:val="21"/>
          <w:szCs w:val="21"/>
          <w:highlight w:val="none"/>
        </w:rPr>
        <w:t xml:space="preserve">四、签约合同价与合同价格形式</w:t>
      </w:r>
      <w:bookmarkEnd w:id="18"/>
      <w:r>
        <w:rPr>
          <w:rFonts w:hint="eastAsia" w:ascii="宋体" w:hAnsi="宋体"/>
          <w:b/>
          <w:color w:val="auto"/>
          <w:sz w:val="21"/>
          <w:szCs w:val="21"/>
          <w:highlight w:val="none"/>
        </w:rPr>
        <w:tab/>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1.签约合同价为：</w:t>
      </w:r>
      <w:r/>
    </w:p>
    <w:p>
      <w:pPr>
        <w:pStyle w:val="1132"/>
        <w:ind w:firstLine="525"/>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pStyle w:val="1132"/>
        <w:ind w:firstLine="126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(小写)：(¥</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其中：</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（1）安全文明施工费：</w:t>
      </w:r>
      <w:r/>
    </w:p>
    <w:p>
      <w:pPr>
        <w:pStyle w:val="1132"/>
        <w:ind w:firstLine="94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（2）材料和工程设备暂估价金额：</w:t>
      </w:r>
      <w:r/>
    </w:p>
    <w:p>
      <w:pPr>
        <w:pStyle w:val="1132"/>
        <w:ind w:firstLine="94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（3）专业工程暂估价金额：</w:t>
      </w:r>
      <w:r/>
    </w:p>
    <w:p>
      <w:pPr>
        <w:pStyle w:val="1132"/>
        <w:ind w:firstLine="94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（4）暂列金额：</w:t>
      </w:r>
      <w:r/>
    </w:p>
    <w:p>
      <w:pPr>
        <w:pStyle w:val="1132"/>
        <w:ind w:firstLine="94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pStyle w:val="113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以上详见招标文件及投标文件。</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2.合同价格形式：</w:t>
      </w:r>
      <w:r>
        <w:rPr>
          <w:rFonts w:hint="eastAsia" w:ascii="宋体" w:hAnsi="宋体"/>
          <w:color w:val="auto"/>
          <w:sz w:val="21"/>
          <w:szCs w:val="21"/>
          <w:highlight w:val="none"/>
          <w:u w:val="single"/>
        </w:rPr>
        <w:t xml:space="preserve">单价</w:t>
      </w:r>
      <w:r>
        <w:rPr>
          <w:rFonts w:hint="eastAsia" w:ascii="宋体" w:hAnsi="宋体"/>
          <w:color w:val="auto"/>
          <w:sz w:val="21"/>
          <w:szCs w:val="21"/>
          <w:highlight w:val="none"/>
          <w:u w:val="single"/>
          <w:lang w:val="en-US" w:eastAsia="zh-CN"/>
        </w:rPr>
        <w:t xml:space="preserve">合同</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pStyle w:val="1132"/>
        <w:spacing w:line="360" w:lineRule="auto"/>
        <w:rPr>
          <w:rFonts w:ascii="宋体" w:hAnsi="宋体"/>
          <w:b/>
          <w:color w:val="auto"/>
          <w:sz w:val="21"/>
          <w:szCs w:val="21"/>
          <w:highlight w:val="none"/>
        </w:rPr>
      </w:pPr>
      <w:r/>
      <w:bookmarkStart w:id="19" w:name="_Toc404776703"/>
      <w:r>
        <w:rPr>
          <w:rFonts w:hint="eastAsia" w:ascii="宋体" w:hAnsi="宋体"/>
          <w:b/>
          <w:color w:val="auto"/>
          <w:sz w:val="21"/>
          <w:szCs w:val="21"/>
          <w:highlight w:val="none"/>
        </w:rPr>
        <w:t xml:space="preserve">五、项目负责人</w:t>
      </w:r>
      <w:bookmarkEnd w:id="19"/>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承包人项目负责人：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spacing w:line="360" w:lineRule="auto"/>
        <w:rPr>
          <w:rFonts w:ascii="宋体" w:hAnsi="宋体"/>
          <w:b/>
          <w:color w:val="auto"/>
          <w:sz w:val="21"/>
          <w:szCs w:val="21"/>
          <w:highlight w:val="none"/>
        </w:rPr>
      </w:pPr>
      <w:r/>
      <w:bookmarkStart w:id="20" w:name="_Toc404776704"/>
      <w:r>
        <w:rPr>
          <w:rFonts w:hint="eastAsia" w:ascii="宋体" w:hAnsi="宋体"/>
          <w:b/>
          <w:color w:val="auto"/>
          <w:sz w:val="21"/>
          <w:szCs w:val="21"/>
          <w:highlight w:val="none"/>
        </w:rPr>
        <w:t xml:space="preserve">六、合同文件构成</w:t>
      </w:r>
      <w:bookmarkEnd w:id="20"/>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本协议书与下列文件一起构成合同文件：</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（1）中标通知书（如果有）；</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（2）投标函及其附录（如果有）； </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（3）专用合同条款及其附件；</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（4）通用合同条款；</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（5）技术标准和要求；</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（6）图纸；</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（7）已标价工程量清单或预算书；</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（8）其他合同文件。</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在合同订立及履行过程中形成的与合同有关的文件均构成合同文件组成部分。</w:t>
      </w:r>
      <w:r/>
    </w:p>
    <w:p>
      <w:pPr>
        <w:pStyle w:val="113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32"/>
        <w:spacing w:line="360" w:lineRule="auto"/>
        <w:rPr>
          <w:rFonts w:ascii="宋体" w:hAnsi="宋体"/>
          <w:b/>
          <w:color w:val="auto"/>
          <w:sz w:val="21"/>
          <w:szCs w:val="21"/>
          <w:highlight w:val="none"/>
        </w:rPr>
      </w:pPr>
      <w:r/>
      <w:bookmarkStart w:id="21" w:name="_Toc404776705"/>
      <w:r>
        <w:rPr>
          <w:rFonts w:hint="eastAsia" w:ascii="宋体" w:hAnsi="宋体"/>
          <w:b/>
          <w:color w:val="auto"/>
          <w:sz w:val="21"/>
          <w:szCs w:val="21"/>
          <w:highlight w:val="none"/>
        </w:rPr>
        <w:t xml:space="preserve">七、承诺</w:t>
      </w:r>
      <w:bookmarkEnd w:id="21"/>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1.发包人承诺按照法律规定履行项目审批手续、筹集工程建设资金并按照合同约定的期限和方式支付合同价款。</w:t>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113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八、词语含义</w:t>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本协议书中词语含义与第二部分通用合同条款中赋予的含义相同。</w:t>
      </w:r>
      <w:r/>
    </w:p>
    <w:p>
      <w:pPr>
        <w:pStyle w:val="1132"/>
        <w:spacing w:line="360" w:lineRule="auto"/>
        <w:rPr>
          <w:rFonts w:ascii="宋体" w:hAnsi="宋体"/>
          <w:b/>
          <w:color w:val="auto"/>
          <w:sz w:val="21"/>
          <w:szCs w:val="21"/>
          <w:highlight w:val="none"/>
        </w:rPr>
      </w:pPr>
      <w:r/>
      <w:bookmarkStart w:id="22" w:name="_Toc404776706"/>
      <w:r>
        <w:rPr>
          <w:rFonts w:hint="eastAsia" w:ascii="宋体" w:hAnsi="宋体"/>
          <w:b/>
          <w:color w:val="auto"/>
          <w:sz w:val="21"/>
          <w:szCs w:val="21"/>
          <w:highlight w:val="none"/>
        </w:rPr>
        <w:t xml:space="preserve">九、签订时间</w:t>
      </w:r>
      <w:bookmarkEnd w:id="22"/>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本合同于</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rPr>
        <w:t xml:space="preserve">年</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月</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日签订。</w:t>
      </w:r>
      <w:r/>
    </w:p>
    <w:p>
      <w:pPr>
        <w:pStyle w:val="1132"/>
        <w:spacing w:line="360" w:lineRule="auto"/>
        <w:rPr>
          <w:rFonts w:ascii="宋体" w:hAnsi="宋体"/>
          <w:b/>
          <w:color w:val="auto"/>
          <w:sz w:val="21"/>
          <w:szCs w:val="21"/>
          <w:highlight w:val="none"/>
        </w:rPr>
      </w:pPr>
      <w:r/>
      <w:bookmarkStart w:id="23" w:name="_Toc404776707"/>
      <w:r>
        <w:rPr>
          <w:rFonts w:hint="eastAsia" w:ascii="宋体" w:hAnsi="宋体"/>
          <w:b/>
          <w:color w:val="auto"/>
          <w:sz w:val="21"/>
          <w:szCs w:val="21"/>
          <w:highlight w:val="none"/>
        </w:rPr>
        <w:t xml:space="preserve">十、签订地点</w:t>
      </w:r>
      <w:bookmarkEnd w:id="23"/>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本合同在</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扬州市江都区樊川镇人民政府</w:t>
      </w:r>
      <w:r>
        <w:rPr>
          <w:rFonts w:hint="eastAsia" w:ascii="宋体" w:hAnsi="宋体"/>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签订。</w:t>
      </w:r>
      <w:r/>
    </w:p>
    <w:p>
      <w:pPr>
        <w:pStyle w:val="1132"/>
        <w:spacing w:line="360" w:lineRule="auto"/>
        <w:rPr>
          <w:rFonts w:ascii="宋体" w:hAnsi="宋体"/>
          <w:b/>
          <w:color w:val="auto"/>
          <w:sz w:val="21"/>
          <w:szCs w:val="21"/>
          <w:highlight w:val="none"/>
        </w:rPr>
      </w:pPr>
      <w:r/>
      <w:bookmarkStart w:id="24" w:name="_Toc404776708"/>
      <w:r>
        <w:rPr>
          <w:rFonts w:hint="eastAsia" w:ascii="宋体" w:hAnsi="宋体"/>
          <w:b/>
          <w:color w:val="auto"/>
          <w:sz w:val="21"/>
          <w:szCs w:val="21"/>
          <w:highlight w:val="none"/>
        </w:rPr>
        <w:t xml:space="preserve">十一、补充协议</w:t>
      </w:r>
      <w:bookmarkEnd w:id="24"/>
      <w:r/>
      <w:r/>
    </w:p>
    <w:p>
      <w:pPr>
        <w:pStyle w:val="1132"/>
        <w:ind w:firstLine="420"/>
        <w:spacing w:line="360" w:lineRule="auto"/>
        <w:rPr>
          <w:rFonts w:ascii="宋体" w:hAnsi="宋体"/>
          <w:b/>
          <w:bCs/>
          <w:color w:val="auto"/>
          <w:sz w:val="21"/>
          <w:szCs w:val="21"/>
          <w:highlight w:val="none"/>
        </w:rPr>
      </w:pPr>
      <w:r>
        <w:rPr>
          <w:rFonts w:hint="eastAsia" w:ascii="宋体" w:hAnsi="宋体"/>
          <w:bCs/>
          <w:color w:val="auto"/>
          <w:sz w:val="21"/>
          <w:szCs w:val="21"/>
          <w:highlight w:val="none"/>
        </w:rPr>
        <w:t xml:space="preserve">合同未尽事宜，合同当事人另行签订补充协议，补充协议是合同的组成部分。</w:t>
      </w:r>
      <w:r/>
    </w:p>
    <w:p>
      <w:pPr>
        <w:pStyle w:val="1132"/>
        <w:spacing w:line="360" w:lineRule="auto"/>
        <w:rPr>
          <w:rFonts w:ascii="宋体" w:hAnsi="宋体"/>
          <w:b/>
          <w:color w:val="auto"/>
          <w:sz w:val="21"/>
          <w:szCs w:val="21"/>
          <w:highlight w:val="none"/>
        </w:rPr>
      </w:pPr>
      <w:r/>
      <w:bookmarkStart w:id="25" w:name="_Toc404776709"/>
      <w:r>
        <w:rPr>
          <w:rFonts w:hint="eastAsia" w:ascii="宋体" w:hAnsi="宋体"/>
          <w:b/>
          <w:color w:val="auto"/>
          <w:sz w:val="21"/>
          <w:szCs w:val="21"/>
          <w:highlight w:val="none"/>
        </w:rPr>
        <w:t xml:space="preserve">十二、合同生效</w:t>
      </w:r>
      <w:bookmarkEnd w:id="25"/>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本合同自</w:t>
      </w:r>
      <w:r>
        <w:rPr>
          <w:rFonts w:hint="eastAsia" w:ascii="宋体" w:hAnsi="宋体"/>
          <w:bCs/>
          <w:color w:val="auto"/>
          <w:sz w:val="21"/>
          <w:szCs w:val="21"/>
          <w:highlight w:val="none"/>
          <w:u w:val="single"/>
        </w:rPr>
        <w:t xml:space="preserve">   双方签字、盖章   </w:t>
      </w:r>
      <w:r>
        <w:rPr>
          <w:rFonts w:hint="eastAsia" w:ascii="宋体" w:hAnsi="宋体"/>
          <w:bCs/>
          <w:color w:val="auto"/>
          <w:sz w:val="21"/>
          <w:szCs w:val="21"/>
          <w:highlight w:val="none"/>
        </w:rPr>
        <w:t xml:space="preserve">后生效。</w:t>
      </w:r>
      <w:r/>
    </w:p>
    <w:p>
      <w:pPr>
        <w:pStyle w:val="1132"/>
        <w:spacing w:line="360" w:lineRule="auto"/>
        <w:rPr>
          <w:rFonts w:ascii="宋体" w:hAnsi="宋体"/>
          <w:b/>
          <w:color w:val="auto"/>
          <w:sz w:val="21"/>
          <w:szCs w:val="21"/>
          <w:highlight w:val="none"/>
        </w:rPr>
      </w:pPr>
      <w:r/>
      <w:bookmarkStart w:id="26" w:name="_Toc404776710"/>
      <w:r>
        <w:rPr>
          <w:rFonts w:hint="eastAsia" w:ascii="宋体" w:hAnsi="宋体"/>
          <w:b/>
          <w:color w:val="auto"/>
          <w:sz w:val="21"/>
          <w:szCs w:val="21"/>
          <w:highlight w:val="none"/>
        </w:rPr>
        <w:t xml:space="preserve">十三、合同份数</w:t>
      </w:r>
      <w:bookmarkEnd w:id="26"/>
      <w:r/>
      <w:r/>
    </w:p>
    <w:p>
      <w:pPr>
        <w:pStyle w:val="1132"/>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本合同一式</w:t>
      </w:r>
      <w:r>
        <w:rPr>
          <w:rFonts w:hint="eastAsia" w:ascii="宋体" w:hAnsi="宋体"/>
          <w:bCs/>
          <w:color w:val="auto"/>
          <w:sz w:val="21"/>
          <w:szCs w:val="21"/>
          <w:highlight w:val="none"/>
          <w:u w:val="single"/>
        </w:rPr>
        <w:t xml:space="preserve">  柒  </w:t>
      </w:r>
      <w:r>
        <w:rPr>
          <w:rFonts w:hint="eastAsia" w:ascii="宋体" w:hAnsi="宋体"/>
          <w:bCs/>
          <w:color w:val="auto"/>
          <w:sz w:val="21"/>
          <w:szCs w:val="21"/>
          <w:highlight w:val="none"/>
        </w:rPr>
        <w:t xml:space="preserve">份，均具有同等法律效力，发包人执</w:t>
      </w:r>
      <w:r>
        <w:rPr>
          <w:rFonts w:hint="eastAsia" w:ascii="宋体" w:hAnsi="宋体"/>
          <w:bCs/>
          <w:color w:val="auto"/>
          <w:sz w:val="21"/>
          <w:szCs w:val="21"/>
          <w:highlight w:val="none"/>
          <w:u w:val="single"/>
        </w:rPr>
        <w:t xml:space="preserve">  肆  </w:t>
      </w:r>
      <w:r>
        <w:rPr>
          <w:rFonts w:hint="eastAsia" w:ascii="宋体" w:hAnsi="宋体"/>
          <w:bCs/>
          <w:color w:val="auto"/>
          <w:sz w:val="21"/>
          <w:szCs w:val="21"/>
          <w:highlight w:val="none"/>
        </w:rPr>
        <w:t xml:space="preserve">份，承包人执</w:t>
      </w:r>
      <w:r>
        <w:rPr>
          <w:rFonts w:hint="eastAsia" w:ascii="宋体" w:hAnsi="宋体"/>
          <w:bCs/>
          <w:color w:val="auto"/>
          <w:sz w:val="21"/>
          <w:szCs w:val="21"/>
          <w:highlight w:val="none"/>
          <w:u w:val="single"/>
        </w:rPr>
        <w:t xml:space="preserve">  叁  </w:t>
      </w:r>
      <w:r>
        <w:rPr>
          <w:rFonts w:hint="eastAsia" w:ascii="宋体" w:hAnsi="宋体"/>
          <w:bCs/>
          <w:color w:val="auto"/>
          <w:sz w:val="21"/>
          <w:szCs w:val="21"/>
          <w:highlight w:val="none"/>
        </w:rPr>
        <w:t xml:space="preserve">份。</w:t>
      </w:r>
      <w:r/>
    </w:p>
    <w:p>
      <w:pPr>
        <w:pStyle w:val="1132"/>
        <w:spacing w:line="360" w:lineRule="auto"/>
        <w:rPr>
          <w:rFonts w:ascii="宋体" w:hAnsi="宋体"/>
          <w:color w:val="auto"/>
          <w:sz w:val="21"/>
          <w:szCs w:val="21"/>
          <w:highlight w:val="none"/>
        </w:rPr>
      </w:pPr>
      <w:r>
        <w:rPr>
          <w:rFonts w:ascii="宋体" w:hAnsi="宋体"/>
          <w:color w:val="auto"/>
          <w:sz w:val="21"/>
          <w:szCs w:val="21"/>
          <w:highlight w:val="none"/>
        </w:rPr>
      </w:r>
      <w:r/>
    </w:p>
    <w:p>
      <w:pPr>
        <w:pStyle w:val="1132"/>
        <w:spacing w:line="360" w:lineRule="auto"/>
        <w:rPr>
          <w:rFonts w:ascii="宋体" w:hAnsi="宋体"/>
          <w:color w:val="auto"/>
          <w:sz w:val="21"/>
          <w:szCs w:val="21"/>
          <w:highlight w:val="none"/>
        </w:rPr>
      </w:pPr>
      <w:r>
        <w:rPr>
          <w:rFonts w:ascii="宋体" w:hAnsi="宋体"/>
          <w:color w:val="auto"/>
          <w:sz w:val="21"/>
          <w:szCs w:val="21"/>
          <w:highlight w:val="none"/>
        </w:rPr>
      </w:r>
      <w:r/>
    </w:p>
    <w:p>
      <w:pPr>
        <w:pStyle w:val="113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发包人：  (公章)                      承包人：  (公章)</w:t>
      </w:r>
      <w:r/>
    </w:p>
    <w:p>
      <w:pPr>
        <w:pStyle w:val="1132"/>
        <w:spacing w:line="360" w:lineRule="auto"/>
        <w:rPr>
          <w:rFonts w:ascii="宋体" w:hAnsi="宋体"/>
          <w:color w:val="auto"/>
          <w:sz w:val="21"/>
          <w:szCs w:val="21"/>
          <w:highlight w:val="none"/>
        </w:rPr>
      </w:pPr>
      <w:r>
        <w:rPr>
          <w:rFonts w:ascii="宋体" w:hAnsi="宋体"/>
          <w:color w:val="auto"/>
          <w:sz w:val="21"/>
          <w:szCs w:val="21"/>
          <w:highlight w:val="none"/>
        </w:rPr>
      </w:r>
      <w:r/>
    </w:p>
    <w:p>
      <w:pPr>
        <w:pStyle w:val="113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法定代表人或其委托代理人：            法定代表人或其委托代理人：</w:t>
      </w:r>
      <w:r/>
    </w:p>
    <w:p>
      <w:pPr>
        <w:pStyle w:val="1132"/>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（签字</w:t>
      </w:r>
      <w:r>
        <w:rPr>
          <w:rFonts w:hint="eastAsia" w:ascii="宋体" w:hAnsi="宋体"/>
          <w:color w:val="auto"/>
          <w:sz w:val="21"/>
          <w:szCs w:val="21"/>
          <w:highlight w:val="none"/>
          <w:lang w:val="en-US" w:eastAsia="zh-CN"/>
        </w:rPr>
        <w:t xml:space="preserve">或盖章</w:t>
      </w:r>
      <w:r>
        <w:rPr>
          <w:rFonts w:hint="eastAsia" w:ascii="宋体" w:hAnsi="宋体"/>
          <w:color w:val="auto"/>
          <w:sz w:val="21"/>
          <w:szCs w:val="21"/>
          <w:highlight w:val="none"/>
        </w:rPr>
        <w:t xml:space="preserve">）                        （签字</w:t>
      </w:r>
      <w:r>
        <w:rPr>
          <w:rFonts w:hint="eastAsia" w:ascii="宋体" w:hAnsi="宋体"/>
          <w:color w:val="auto"/>
          <w:sz w:val="21"/>
          <w:szCs w:val="21"/>
          <w:highlight w:val="none"/>
          <w:lang w:val="en-US" w:eastAsia="zh-CN"/>
        </w:rPr>
        <w:t xml:space="preserve">或盖章</w:t>
      </w:r>
      <w:r>
        <w:rPr>
          <w:rFonts w:hint="eastAsia" w:ascii="宋体" w:hAnsi="宋体"/>
          <w:color w:val="auto"/>
          <w:sz w:val="21"/>
          <w:szCs w:val="21"/>
          <w:highlight w:val="none"/>
        </w:rPr>
        <w:t xml:space="preserve">）</w:t>
      </w:r>
      <w:r/>
    </w:p>
    <w:p>
      <w:pPr>
        <w:pStyle w:val="1132"/>
        <w:spacing w:line="360" w:lineRule="auto"/>
        <w:tabs>
          <w:tab w:val="left" w:pos="4410" w:leader="none"/>
        </w:tabs>
        <w:rPr>
          <w:rFonts w:ascii="宋体" w:hAnsi="宋体"/>
          <w:color w:val="auto"/>
          <w:sz w:val="21"/>
          <w:szCs w:val="21"/>
          <w:highlight w:val="none"/>
        </w:rPr>
      </w:pPr>
      <w:r>
        <w:rPr>
          <w:rFonts w:ascii="宋体" w:hAnsi="宋体"/>
          <w:color w:val="auto"/>
          <w:sz w:val="21"/>
          <w:szCs w:val="21"/>
          <w:highlight w:val="none"/>
        </w:rPr>
      </w:r>
      <w:r/>
    </w:p>
    <w:p>
      <w:pPr>
        <w:pStyle w:val="1132"/>
        <w:spacing w:line="360" w:lineRule="auto"/>
        <w:tabs>
          <w:tab w:val="left" w:pos="4410" w:leader="none"/>
        </w:tabs>
        <w:rPr>
          <w:rFonts w:ascii="宋体" w:hAnsi="宋体"/>
          <w:color w:val="auto"/>
          <w:sz w:val="21"/>
          <w:szCs w:val="21"/>
          <w:highlight w:val="none"/>
          <w:u w:val="none"/>
        </w:rPr>
      </w:pPr>
      <w:r>
        <w:rPr>
          <w:rFonts w:hint="eastAsia" w:ascii="宋体" w:hAnsi="宋体"/>
          <w:color w:val="auto"/>
          <w:sz w:val="21"/>
          <w:szCs w:val="21"/>
          <w:highlight w:val="none"/>
          <w:u w:val="none"/>
        </w:rPr>
        <w:t xml:space="preserve">组织机构代码：                        组织机构代码：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地  址：                              地  址：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账  号：                              邮政编码：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法定代表人：                          法定代表人：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委托代理人：                          委托代理人：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电  话：                              电  话：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传  真：                              传  真：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电子信箱：                            电子信箱： </w:t>
      </w:r>
      <w:r/>
    </w:p>
    <w:p>
      <w:pPr>
        <w:pStyle w:val="1132"/>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开户银行：                            开户银行： </w:t>
      </w:r>
      <w:r/>
    </w:p>
    <w:p>
      <w:pPr>
        <w:pStyle w:val="1132"/>
        <w:spacing w:line="360" w:lineRule="auto"/>
        <w:rPr>
          <w:rFonts w:hint="eastAsia" w:ascii="宋体" w:hAnsi="宋体"/>
          <w:color w:val="auto"/>
          <w:sz w:val="24"/>
          <w:szCs w:val="24"/>
          <w:highlight w:val="none"/>
          <w:u w:val="single"/>
        </w:rPr>
      </w:pPr>
      <w:r>
        <w:rPr>
          <w:rFonts w:hint="eastAsia" w:ascii="宋体" w:hAnsi="宋体"/>
          <w:color w:val="auto"/>
          <w:sz w:val="21"/>
          <w:szCs w:val="21"/>
          <w:highlight w:val="none"/>
          <w:u w:val="none"/>
        </w:rPr>
        <w:t xml:space="preserve">账  号：                         </w:t>
      </w:r>
      <w:r>
        <w:rPr>
          <w:rFonts w:hint="eastAsia" w:ascii="宋体" w:hAnsi="宋体"/>
          <w:color w:val="auto"/>
          <w:sz w:val="21"/>
          <w:szCs w:val="21"/>
          <w:highlight w:val="none"/>
        </w:rPr>
        <w:t xml:space="preserve">     账  号：</w:t>
      </w:r>
      <w:r>
        <w:rPr>
          <w:rFonts w:hint="eastAsia" w:ascii="宋体" w:hAnsi="宋体"/>
          <w:color w:val="auto"/>
          <w:sz w:val="21"/>
          <w:szCs w:val="21"/>
          <w:highlight w:val="none"/>
          <w:u w:val="single"/>
        </w:rPr>
        <w:t xml:space="preserve">  </w:t>
      </w:r>
      <w:r>
        <w:rPr>
          <w:rFonts w:hint="eastAsia" w:ascii="宋体" w:hAnsi="宋体"/>
          <w:color w:val="auto"/>
          <w:sz w:val="24"/>
          <w:szCs w:val="24"/>
          <w:highlight w:val="none"/>
          <w:u w:val="single"/>
        </w:rPr>
        <w:t xml:space="preserve">  </w:t>
      </w:r>
      <w:r/>
    </w:p>
    <w:p>
      <w:pPr>
        <w:pStyle w:val="1132"/>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p>
      <w:pPr>
        <w:pStyle w:val="1162"/>
        <w:pageBreakBefore w:val="0"/>
        <w:spacing w:line="360" w:lineRule="auto"/>
        <w:tabs>
          <w:tab w:val="clear" w:pos="720" w:leader="none"/>
        </w:tabs>
        <w:rPr>
          <w:rFonts w:hint="eastAsia" w:ascii="宋体" w:hAnsi="宋体" w:eastAsia="宋体" w:cs="Times New Roman"/>
          <w:color w:val="auto"/>
          <w:sz w:val="24"/>
          <w:szCs w:val="24"/>
          <w:highlight w:val="none"/>
        </w:rPr>
      </w:pPr>
      <w:r>
        <w:rPr>
          <w:rFonts w:ascii="仿宋" w:hAnsi="仿宋" w:eastAsia="仿宋"/>
          <w:color w:val="auto"/>
          <w:sz w:val="21"/>
          <w:szCs w:val="21"/>
          <w:highlight w:val="none"/>
        </w:rPr>
        <w:br w:type="page" w:clear="all"/>
      </w:r>
      <w:r>
        <w:rPr>
          <w:rFonts w:hint="eastAsia" w:ascii="宋体" w:hAnsi="宋体" w:eastAsia="宋体" w:cs="Times New Roman"/>
          <w:color w:val="auto"/>
          <w:sz w:val="24"/>
          <w:szCs w:val="24"/>
          <w:highlight w:val="none"/>
        </w:rPr>
        <w:t xml:space="preserve">  第二部分　　通用条款  (略)</w:t>
      </w:r>
      <w:r/>
    </w:p>
    <w:p>
      <w:pPr>
        <w:pStyle w:val="1162"/>
        <w:pageBreakBefore w:val="0"/>
        <w:spacing w:line="360" w:lineRule="auto"/>
        <w:tabs>
          <w:tab w:val="clear" w:pos="720" w:leader="none"/>
        </w:tabs>
        <w:rPr>
          <w:rFonts w:ascii="宋体" w:hAnsi="宋体"/>
          <w:color w:val="auto"/>
          <w:sz w:val="24"/>
          <w:szCs w:val="24"/>
          <w:highlight w:val="none"/>
        </w:rPr>
      </w:pPr>
      <w:r/>
      <w:bookmarkStart w:id="27" w:name="_Toc351203632"/>
      <w:r>
        <w:rPr>
          <w:rFonts w:ascii="宋体" w:hAnsi="宋体"/>
          <w:color w:val="auto"/>
          <w:sz w:val="24"/>
          <w:szCs w:val="24"/>
          <w:highlight w:val="none"/>
        </w:rPr>
        <w:t xml:space="preserve">第三部分 </w:t>
      </w:r>
      <w:r>
        <w:rPr>
          <w:rFonts w:hint="eastAsia" w:ascii="宋体" w:hAnsi="宋体"/>
          <w:color w:val="auto"/>
          <w:sz w:val="24"/>
          <w:szCs w:val="24"/>
          <w:highlight w:val="none"/>
        </w:rPr>
        <w:t xml:space="preserve">专用合同条款</w:t>
      </w:r>
      <w:bookmarkEnd w:id="27"/>
      <w:r/>
      <w:r/>
    </w:p>
    <w:p>
      <w:pPr>
        <w:pStyle w:val="1163"/>
        <w:pageBreakBefore w:val="0"/>
        <w:spacing w:before="120" w:after="120" w:line="360" w:lineRule="auto"/>
        <w:rPr>
          <w:rFonts w:ascii="宋体" w:hAnsi="宋体"/>
          <w:b w:val="0"/>
          <w:color w:val="auto"/>
          <w:sz w:val="21"/>
          <w:szCs w:val="21"/>
          <w:highlight w:val="none"/>
        </w:rPr>
      </w:pPr>
      <w:r/>
      <w:bookmarkStart w:id="28" w:name="_Toc351203633"/>
      <w:r>
        <w:rPr>
          <w:rFonts w:ascii="宋体" w:hAnsi="宋体"/>
          <w:b w:val="0"/>
          <w:color w:val="auto"/>
          <w:sz w:val="21"/>
          <w:szCs w:val="21"/>
          <w:highlight w:val="none"/>
        </w:rPr>
        <w:t xml:space="preserve">1</w:t>
      </w:r>
      <w:bookmarkStart w:id="29" w:name="_Toc296944495"/>
      <w:r/>
      <w:bookmarkStart w:id="30" w:name="_Toc296346657"/>
      <w:r/>
      <w:bookmarkStart w:id="31" w:name="_Toc296891196"/>
      <w:r/>
      <w:bookmarkStart w:id="32" w:name="_Toc296347155"/>
      <w:r/>
      <w:bookmarkStart w:id="33" w:name="_Toc297048342"/>
      <w:r/>
      <w:bookmarkStart w:id="34" w:name="_Toc296890984"/>
      <w:r/>
      <w:bookmarkStart w:id="35" w:name="_Toc296503156"/>
      <w:r/>
      <w:bookmarkStart w:id="36" w:name="_Toc297120456"/>
      <w:r/>
      <w:bookmarkStart w:id="37" w:name="_Toc292559361"/>
      <w:r/>
      <w:bookmarkStart w:id="38" w:name="_Toc292559866"/>
      <w:r>
        <w:rPr>
          <w:rFonts w:ascii="宋体" w:hAnsi="宋体"/>
          <w:b w:val="0"/>
          <w:color w:val="auto"/>
          <w:sz w:val="21"/>
          <w:szCs w:val="21"/>
          <w:highlight w:val="none"/>
        </w:rPr>
        <w:t xml:space="preserve">. 一般约定</w:t>
      </w:r>
      <w:bookmarkEnd w:id="28"/>
      <w:r/>
      <w:bookmarkEnd w:id="29"/>
      <w:r/>
      <w:bookmarkEnd w:id="30"/>
      <w:r/>
      <w:bookmarkEnd w:id="31"/>
      <w:r/>
      <w:bookmarkEnd w:id="32"/>
      <w:r/>
      <w:bookmarkEnd w:id="33"/>
      <w:r/>
      <w:bookmarkEnd w:id="34"/>
      <w:r/>
      <w:bookmarkEnd w:id="35"/>
      <w:r/>
      <w:bookmarkEnd w:id="36"/>
      <w:r/>
      <w:bookmarkEnd w:id="37"/>
      <w:r/>
      <w:bookmarkEnd w:id="38"/>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1.1 词语定义</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1.1.1合同</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1.1.1.10其他合同文件包括：</w:t>
      </w:r>
      <w:r>
        <w:rPr>
          <w:rFonts w:ascii="宋体" w:hAnsi="宋体"/>
          <w:color w:val="auto"/>
          <w:sz w:val="21"/>
          <w:szCs w:val="21"/>
          <w:highlight w:val="none"/>
          <w:u w:val="single"/>
        </w:rPr>
        <w:t xml:space="preserve"> 本合同协议书、</w:t>
      </w:r>
      <w:r>
        <w:rPr>
          <w:rFonts w:hint="eastAsia" w:ascii="宋体" w:hAnsi="宋体"/>
          <w:color w:val="auto"/>
          <w:sz w:val="21"/>
          <w:szCs w:val="21"/>
          <w:highlight w:val="none"/>
          <w:u w:val="single"/>
        </w:rPr>
        <w:t xml:space="preserve">通用条款、专用条款、中标通知书、招标文件及其附件、双方确认的工程量清单及报价、标准、规范及有关技术文件、施工图纸等。</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1.1.2 合同当事人及其他相关方</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1.1.2.4监理人：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名    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资质类别和等级：</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1.1.2.5 设计人：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名    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资质类别和等级：</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1.1.3 工程和设备</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1.1.3.7 作为施工现场组成部分的其他场所包括：</w:t>
      </w:r>
      <w:r>
        <w:rPr>
          <w:rFonts w:hint="eastAsia" w:ascii="宋体" w:hAnsi="宋体"/>
          <w:color w:val="auto"/>
          <w:sz w:val="21"/>
          <w:szCs w:val="21"/>
          <w:highlight w:val="none"/>
          <w:u w:val="single"/>
        </w:rPr>
        <w:t xml:space="preserve">    /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1.1.3.9 永久占地包括：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1.1.3.10 临时占地包括：</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1.3法律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适用于合同的其他规范性文件：</w:t>
      </w:r>
      <w:r>
        <w:rPr>
          <w:rFonts w:hint="eastAsia" w:ascii="MingLiU_HKSCS" w:hAnsi="MingLiU_HKSCS" w:eastAsia="MingLiU_HKSCS" w:cs="MingLiU_HKSCS"/>
          <w:color w:val="auto"/>
          <w:sz w:val="21"/>
          <w:szCs w:val="21"/>
          <w:highlight w:val="none"/>
          <w:u w:val="single"/>
        </w:rPr>
        <w:t xml:space="preserve"> </w:t>
      </w:r>
      <w:r>
        <w:rPr>
          <w:rFonts w:hint="eastAsia" w:ascii="宋体" w:hAnsi="宋体" w:cs="宋体"/>
          <w:color w:val="auto"/>
          <w:sz w:val="21"/>
          <w:szCs w:val="21"/>
          <w:highlight w:val="none"/>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 标准和规范</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1.4.1适用于工程的标准规范包括</w:t>
      </w:r>
      <w:r>
        <w:rPr>
          <w:rFonts w:hint="eastAsia" w:ascii="宋体" w:hAnsi="宋体"/>
          <w:color w:val="auto"/>
          <w:sz w:val="21"/>
          <w:szCs w:val="21"/>
          <w:highlight w:val="none"/>
        </w:rPr>
        <w:t xml:space="preserve">：</w:t>
      </w:r>
      <w:r>
        <w:rPr>
          <w:rFonts w:hint="eastAsia" w:ascii="宋体" w:hAnsi="宋体" w:cs="宋体"/>
          <w:color w:val="auto"/>
          <w:sz w:val="21"/>
          <w:szCs w:val="21"/>
          <w:highlight w:val="none"/>
          <w:u w:val="single"/>
        </w:rPr>
        <w:t xml:space="preserve">扬建工（2014）20号文、</w:t>
      </w:r>
      <w:r>
        <w:rPr>
          <w:rFonts w:hint="eastAsia" w:ascii="宋体" w:hAnsi="宋体"/>
          <w:color w:val="auto"/>
          <w:sz w:val="21"/>
          <w:szCs w:val="21"/>
          <w:highlight w:val="none"/>
          <w:u w:val="single"/>
        </w:rPr>
        <w:t xml:space="preserve">《</w:t>
      </w:r>
      <w:r>
        <w:rPr>
          <w:rFonts w:hint="eastAsia" w:ascii="宋体" w:hAnsi="宋体" w:cs="宋体"/>
          <w:color w:val="auto"/>
          <w:sz w:val="21"/>
          <w:szCs w:val="21"/>
          <w:highlight w:val="none"/>
          <w:u w:val="single"/>
        </w:rPr>
        <w:t xml:space="preserve">建设工程工程量清单计价规范》（GB50500-2013）、《省住建厅关于2013版清单的贯彻意见意见》、</w:t>
      </w:r>
      <w:r>
        <w:rPr>
          <w:rFonts w:hint="eastAsia" w:ascii="宋体" w:hAnsi="宋体"/>
          <w:color w:val="auto"/>
          <w:sz w:val="21"/>
          <w:szCs w:val="21"/>
          <w:highlight w:val="none"/>
          <w:u w:val="single"/>
        </w:rPr>
        <w:t xml:space="preserve">与工程相关的现行图集、施工说明、现行国家施工规范及验收标准等</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1.4.2 发包人提供国外标准、规范的名称</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发包人提供国外标准、规范的份数：</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发包人提供国外标准、规范的名称：</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1.4.3发包人对工程的技术标准和功能要求的特殊要求：</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1.5 合同文件的优先顺序</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合同文件组成及优先顺序为：</w:t>
      </w:r>
      <w:r>
        <w:rPr>
          <w:rFonts w:hint="eastAsia" w:ascii="宋体" w:hAnsi="宋体"/>
          <w:color w:val="auto"/>
          <w:sz w:val="21"/>
          <w:szCs w:val="21"/>
          <w:highlight w:val="none"/>
          <w:u w:val="single"/>
        </w:rPr>
        <w:t xml:space="preserve"> 按通用条款第1规定：</w:t>
      </w:r>
      <w:r>
        <w:rPr>
          <w:rFonts w:ascii="宋体" w:hAnsi="宋体"/>
          <w:color w:val="auto"/>
          <w:sz w:val="21"/>
          <w:szCs w:val="21"/>
          <w:highlight w:val="none"/>
          <w:u w:val="single"/>
        </w:rPr>
        <w:t xml:space="preserve">合同协议书、中标通知书、投标函及其附录、专用合同条款及其附件、通用合同条款、技术标准和要求、图纸、已标价工程量清单或预算书以及其他合同文件。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 图纸和承包人文件</w:t>
      </w:r>
      <w:r>
        <w:rPr>
          <w:rFonts w:ascii="宋体" w:hAnsi="宋体"/>
          <w:color w:val="auto"/>
          <w:sz w:val="21"/>
          <w:szCs w:val="21"/>
          <w:highlight w:val="none"/>
        </w:rPr>
        <w:tab/>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1.6.1 图纸的提供</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发包人向承包人提供图纸的期限：</w:t>
      </w:r>
      <w:r>
        <w:rPr>
          <w:rFonts w:hint="eastAsia" w:ascii="宋体" w:hAnsi="宋体"/>
          <w:color w:val="auto"/>
          <w:sz w:val="21"/>
          <w:szCs w:val="21"/>
          <w:highlight w:val="none"/>
          <w:u w:val="single"/>
        </w:rPr>
        <w:t xml:space="preserve">  签订合同后叁天内提供</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发包人向承包人提供图纸的数量：</w:t>
      </w:r>
      <w:r>
        <w:rPr>
          <w:rFonts w:hint="eastAsia" w:ascii="宋体" w:hAnsi="宋体"/>
          <w:color w:val="auto"/>
          <w:sz w:val="21"/>
          <w:szCs w:val="21"/>
          <w:highlight w:val="none"/>
          <w:u w:val="single"/>
        </w:rPr>
        <w:t xml:space="preserve">免费提供承包人3套，承包人需要更多复制件时，应自行解决，费用自理</w:t>
      </w:r>
      <w:r>
        <w:rPr>
          <w:rFonts w:hint="eastAsia" w:ascii="MingLiU_HKSCS" w:hAnsi="MingLiU_HKSCS" w:eastAsia="MingLiU_HKSCS" w:cs="MingLiU_HKSCS"/>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发包人向承包人提供图纸的内容：</w:t>
      </w:r>
      <w:r>
        <w:rPr>
          <w:rFonts w:hint="eastAsia" w:ascii="MingLiU_HKSCS" w:hAnsi="MingLiU_HKSCS" w:eastAsia="MingLiU_HKSCS" w:cs="MingLiU_HKSCS"/>
          <w:color w:val="auto"/>
          <w:sz w:val="21"/>
          <w:szCs w:val="21"/>
          <w:highlight w:val="none"/>
          <w:u w:val="single"/>
        </w:rPr>
        <w:t xml:space="preserve"> </w:t>
      </w:r>
      <w:r>
        <w:rPr>
          <w:rFonts w:hint="eastAsia" w:ascii="宋体" w:hAnsi="宋体"/>
          <w:color w:val="auto"/>
          <w:sz w:val="21"/>
          <w:szCs w:val="21"/>
          <w:highlight w:val="none"/>
          <w:u w:val="single"/>
        </w:rPr>
        <w:t xml:space="preserve">全套施工及相应配套图纸。</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1.6.4 承包人文件</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需要由承包人提供的文件，包括：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项目管理部成员表、已标价的工程量清单、施工组织设计（施工管理、质量管理、安全管理、文明施工组织网络）、专项施工方案、工程进度计划、已完成工程量月报表、竣工图、竣工结算</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承包人提供的文件的期限为：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承包人在开工前提交工程施工总进度计划，并应当按照发包人要求向工程师提供当月工程进度统计表和下月计划，每周向工程师提供周计划</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承包人提供的文件的数量为：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四份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承包人提供的文件的形式为：</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书面及电子版  </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承包人文件的期限：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7天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1.6.5 现场图纸准备</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关于现场图纸准备的约定：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1.7 联络</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rPr>
        <w:t xml:space="preserve"> 3   </w:t>
      </w:r>
      <w:r>
        <w:rPr>
          <w:rFonts w:hint="eastAsia" w:ascii="宋体" w:hAnsi="宋体" w:cs="宋体"/>
          <w:color w:val="auto"/>
          <w:sz w:val="21"/>
          <w:szCs w:val="21"/>
          <w:highlight w:val="none"/>
        </w:rPr>
        <w:t xml:space="preserve">天内将与合同有关的通知、批准、证明、证书、指示、指令、要求、请求、同意、意见、确定和决定等书面函件送达对方当事人。</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1.7.2 发包人接收文件的地点：</w:t>
      </w:r>
      <w:r>
        <w:rPr>
          <w:rFonts w:hint="eastAsia" w:ascii="宋体" w:hAnsi="宋体" w:cs="宋体"/>
          <w:color w:val="auto"/>
          <w:sz w:val="21"/>
          <w:szCs w:val="21"/>
          <w:highlight w:val="none"/>
          <w:u w:val="single"/>
        </w:rPr>
        <w:t xml:space="preserve"> 工地现场办公室         </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发包人指定的接收人为：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承包人接收文件的地点：</w:t>
      </w:r>
      <w:r>
        <w:rPr>
          <w:rFonts w:hint="eastAsia" w:ascii="宋体" w:hAnsi="宋体" w:cs="宋体"/>
          <w:color w:val="auto"/>
          <w:sz w:val="21"/>
          <w:szCs w:val="21"/>
          <w:highlight w:val="none"/>
          <w:u w:val="single"/>
        </w:rPr>
        <w:t xml:space="preserve"> 施工现场承包人办公室           </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承包人指定的接收人为：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监理人接收文件的地点：</w:t>
      </w:r>
      <w:r>
        <w:rPr>
          <w:rFonts w:hint="eastAsia" w:ascii="宋体" w:hAnsi="宋体" w:cs="宋体"/>
          <w:color w:val="auto"/>
          <w:sz w:val="21"/>
          <w:szCs w:val="21"/>
          <w:highlight w:val="none"/>
          <w:u w:val="single"/>
        </w:rPr>
        <w:t xml:space="preserve">  工地现场办公室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监理人指定的接收人为：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1.10 交通运输</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bookmarkStart w:id="39" w:name="_Toc300934943"/>
      <w:r/>
      <w:bookmarkStart w:id="40" w:name="_Toc318581155"/>
      <w:r/>
      <w:bookmarkStart w:id="41" w:name="_Toc304295521"/>
      <w:r/>
      <w:bookmarkStart w:id="42" w:name="_Toc303539100"/>
      <w:r/>
      <w:bookmarkStart w:id="43" w:name="_Toc312677986"/>
      <w:r>
        <w:rPr>
          <w:rFonts w:hint="eastAsia" w:ascii="宋体" w:hAnsi="宋体" w:cs="宋体"/>
          <w:color w:val="auto"/>
          <w:sz w:val="21"/>
          <w:szCs w:val="21"/>
          <w:highlight w:val="none"/>
        </w:rPr>
        <w:t xml:space="preserve">.10.1 出入现场的权利</w:t>
      </w:r>
      <w:r/>
    </w:p>
    <w:p>
      <w:pPr>
        <w:pStyle w:val="1132"/>
        <w:ind w:left="596"/>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关于出入现场的权利的约定：</w:t>
      </w:r>
      <w:r>
        <w:rPr>
          <w:rFonts w:hint="eastAsia" w:ascii="宋体" w:hAnsi="宋体" w:cs="宋体"/>
          <w:color w:val="auto"/>
          <w:sz w:val="21"/>
          <w:szCs w:val="21"/>
          <w:highlight w:val="none"/>
          <w:u w:val="single"/>
        </w:rPr>
        <w:t xml:space="preserve">  按通用条款执行 </w:t>
      </w:r>
      <w:r>
        <w:rPr>
          <w:rFonts w:hint="eastAsia" w:ascii="宋体" w:hAnsi="宋体" w:cs="宋体"/>
          <w:color w:val="auto"/>
          <w:sz w:val="21"/>
          <w:szCs w:val="21"/>
          <w:highlight w:val="none"/>
        </w:rPr>
        <w:t xml:space="preserve">。</w:t>
      </w:r>
      <w:bookmarkEnd w:id="39"/>
      <w:r/>
      <w:bookmarkEnd w:id="40"/>
      <w:r/>
      <w:bookmarkEnd w:id="41"/>
      <w:r/>
      <w:bookmarkEnd w:id="42"/>
      <w:r/>
      <w:bookmarkEnd w:id="43"/>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bookmarkStart w:id="44" w:name="_Toc312677987"/>
      <w:r/>
      <w:bookmarkStart w:id="45" w:name="_Toc300934944"/>
      <w:r/>
      <w:bookmarkStart w:id="46" w:name="_Toc303539101"/>
      <w:r/>
      <w:bookmarkStart w:id="47" w:name="_Toc318581156"/>
      <w:r/>
      <w:bookmarkStart w:id="48" w:name="_Toc304295522"/>
      <w:r>
        <w:rPr>
          <w:rFonts w:hint="eastAsia" w:ascii="宋体" w:hAnsi="宋体" w:cs="宋体"/>
          <w:color w:val="auto"/>
          <w:sz w:val="21"/>
          <w:szCs w:val="21"/>
          <w:highlight w:val="none"/>
        </w:rPr>
        <w:t xml:space="preserve">.10.3 场内交通</w:t>
      </w:r>
      <w:r/>
    </w:p>
    <w:p>
      <w:pPr>
        <w:pStyle w:val="1132"/>
        <w:ind w:firstLine="42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关于场外交通和场内交通的边界的约定：</w:t>
      </w:r>
      <w:r>
        <w:rPr>
          <w:rFonts w:hint="eastAsia" w:ascii="宋体" w:hAnsi="宋体" w:cs="宋体"/>
          <w:color w:val="auto"/>
          <w:sz w:val="21"/>
          <w:szCs w:val="21"/>
          <w:highlight w:val="none"/>
          <w:u w:val="single"/>
        </w:rPr>
        <w:t xml:space="preserve">按现行费用定额中的临时设施费的相关规定执行</w:t>
      </w:r>
      <w:r>
        <w:rPr>
          <w:rFonts w:hint="eastAsia" w:ascii="宋体" w:hAnsi="宋体" w:cs="宋体"/>
          <w:color w:val="auto"/>
          <w:sz w:val="21"/>
          <w:szCs w:val="21"/>
          <w:highlight w:val="none"/>
        </w:rPr>
        <w:t xml:space="preserve">。</w:t>
      </w:r>
      <w:bookmarkEnd w:id="44"/>
      <w:r/>
      <w:bookmarkEnd w:id="45"/>
      <w:r/>
      <w:bookmarkEnd w:id="46"/>
      <w:r/>
      <w:bookmarkEnd w:id="47"/>
      <w:r/>
      <w:bookmarkEnd w:id="48"/>
      <w:r>
        <w:rPr>
          <w:rFonts w:ascii="宋体" w:hAnsi="宋体"/>
          <w:color w:val="auto"/>
          <w:sz w:val="21"/>
          <w:szCs w:val="21"/>
          <w:highlight w:val="none"/>
        </w:rPr>
        <w:t xml:space="preserve"> </w:t>
      </w:r>
      <w:bookmarkStart w:id="49" w:name="_Toc318581157"/>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关于发包人向承包人免费提供满足工程施工需要的场内道路和交通设施的约定：</w:t>
      </w:r>
      <w:r>
        <w:rPr>
          <w:rFonts w:hint="eastAsia" w:ascii="宋体" w:hAnsi="宋体"/>
          <w:color w:val="auto"/>
          <w:sz w:val="21"/>
          <w:szCs w:val="21"/>
          <w:highlight w:val="none"/>
          <w:u w:val="single"/>
        </w:rPr>
        <w:t xml:space="preserve">  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1.10.4超大件和超重件的运输</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运输超大件或超重件所需的道路和桥梁临时加固改造费用和其他有关费用由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bookmarkEnd w:id="49"/>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1.11 知识产权</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1"/>
          <w:szCs w:val="21"/>
          <w:highlight w:val="none"/>
          <w:u w:val="single"/>
        </w:rPr>
        <w:t xml:space="preserve">按通用条款执行</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p>
    <w:p>
      <w:pPr>
        <w:pStyle w:val="1132"/>
        <w:ind w:left="596"/>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关于发包人提供的上述文件的使用限制的要求：</w:t>
      </w:r>
      <w:r>
        <w:rPr>
          <w:rFonts w:hint="eastAsia" w:ascii="宋体" w:hAnsi="宋体"/>
          <w:color w:val="auto"/>
          <w:sz w:val="21"/>
          <w:szCs w:val="21"/>
          <w:highlight w:val="none"/>
          <w:u w:val="single"/>
        </w:rPr>
        <w:t xml:space="preserve">按通用条款执行</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 </w:t>
      </w:r>
      <w:r>
        <w:rPr>
          <w:rFonts w:ascii="宋体" w:hAnsi="宋体"/>
          <w:b/>
          <w:color w:val="auto"/>
          <w:sz w:val="21"/>
          <w:szCs w:val="21"/>
          <w:highlight w:val="none"/>
          <w:u w:val="single"/>
        </w:rPr>
        <w:t xml:space="preserve">  </w:t>
      </w:r>
      <w:r/>
    </w:p>
    <w:p>
      <w:pPr>
        <w:pStyle w:val="1132"/>
        <w:ind w:left="59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1.11.2 关于承包人为实施工程所编制文件的著作权的归属：</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关于承包人提供的上述文件的使用限制的要求</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1.11.4 承包人在施工过程中所采用的专利、专有技术、技术秘密的使用费的承担方式：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承包人承担</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1.13工程量清单错误的修正</w:t>
      </w:r>
      <w:r/>
    </w:p>
    <w:p>
      <w:pPr>
        <w:pStyle w:val="1132"/>
        <w:ind w:firstLine="420"/>
        <w:pageBreakBefore w:val="0"/>
        <w:spacing w:line="360" w:lineRule="auto"/>
        <w:rPr>
          <w:rFonts w:ascii="宋体" w:hAnsi="宋体"/>
          <w:color w:val="auto"/>
          <w:sz w:val="21"/>
          <w:szCs w:val="21"/>
          <w:highlight w:val="none"/>
          <w:u w:val="single"/>
        </w:rPr>
      </w:pPr>
      <w:r/>
      <w:bookmarkStart w:id="50" w:name="_Toc351203634"/>
      <w:r>
        <w:rPr>
          <w:rFonts w:hint="eastAsia" w:ascii="宋体" w:hAnsi="宋体"/>
          <w:color w:val="auto"/>
          <w:sz w:val="21"/>
          <w:szCs w:val="21"/>
          <w:highlight w:val="none"/>
        </w:rPr>
        <w:t xml:space="preserve">出现工程量清单错误时，是否调整合同价格</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本项目为固定单</w:t>
      </w:r>
      <w:r>
        <w:rPr>
          <w:rFonts w:hint="eastAsia" w:ascii="宋体" w:hAnsi="宋体"/>
          <w:color w:val="auto"/>
          <w:sz w:val="21"/>
          <w:szCs w:val="21"/>
          <w:highlight w:val="none"/>
          <w:u w:val="single"/>
        </w:rPr>
        <w:t xml:space="preserve">价合同，工程量按实计算，出现下列情形之一时，发包人应予以修正，并相应调整合同价款：</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）工程量清单存在缺项，漏项的；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）工程量清单偏差超出专用合同条款约定的工程量偏差范围的； </w:t>
      </w:r>
      <w:r/>
    </w:p>
    <w:p>
      <w:pPr>
        <w:pStyle w:val="1132"/>
        <w:ind w:firstLine="420"/>
        <w:pageBreakBefore w:val="0"/>
        <w:spacing w:line="360" w:lineRule="auto"/>
        <w:rPr>
          <w:rFonts w:hint="eastAsia" w:ascii="宋体" w:hAnsi="宋体" w:eastAsia="宋体"/>
          <w:color w:val="auto"/>
          <w:sz w:val="21"/>
          <w:szCs w:val="21"/>
          <w:highlight w:val="none"/>
          <w:u w:val="single"/>
          <w:lang w:eastAsia="zh-CN"/>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）未按照国家现行计量规范强制性规定计算的</w:t>
      </w:r>
      <w:r>
        <w:rPr>
          <w:rFonts w:hint="eastAsia" w:ascii="宋体" w:hAnsi="宋体"/>
          <w:color w:val="auto"/>
          <w:sz w:val="21"/>
          <w:szCs w:val="21"/>
          <w:highlight w:val="none"/>
          <w:u w:val="single"/>
          <w:lang w:eastAsia="zh-CN"/>
        </w:rPr>
        <w:t xml:space="preserve">。</w:t>
      </w:r>
      <w:r/>
    </w:p>
    <w:p>
      <w:pPr>
        <w:pStyle w:val="1132"/>
        <w:ind w:firstLine="422"/>
        <w:pageBreakBefore w:val="0"/>
        <w:spacing w:line="360" w:lineRule="auto"/>
        <w:rPr>
          <w:rFonts w:ascii="宋体" w:hAnsi="宋体"/>
          <w:b/>
          <w:color w:val="auto"/>
          <w:sz w:val="21"/>
          <w:szCs w:val="21"/>
          <w:highlight w:val="none"/>
        </w:rPr>
      </w:pPr>
      <w:r>
        <w:rPr>
          <w:rFonts w:ascii="宋体" w:hAnsi="宋体"/>
          <w:b/>
          <w:color w:val="auto"/>
          <w:sz w:val="21"/>
          <w:szCs w:val="21"/>
          <w:highlight w:val="none"/>
        </w:rPr>
        <w:t xml:space="preserve">2</w:t>
      </w:r>
      <w:bookmarkStart w:id="51" w:name="_Toc296944496"/>
      <w:r/>
      <w:bookmarkStart w:id="52" w:name="_Toc296346658"/>
      <w:r/>
      <w:bookmarkStart w:id="53" w:name="_Toc292559867"/>
      <w:r/>
      <w:bookmarkStart w:id="54" w:name="_Toc296890985"/>
      <w:r/>
      <w:bookmarkStart w:id="55" w:name="_Toc296347156"/>
      <w:r/>
      <w:bookmarkStart w:id="56" w:name="_Toc292559362"/>
      <w:r/>
      <w:bookmarkStart w:id="57" w:name="_Toc297120457"/>
      <w:r/>
      <w:bookmarkStart w:id="58" w:name="_Toc297048343"/>
      <w:r/>
      <w:bookmarkStart w:id="59" w:name="_Toc296891197"/>
      <w:r/>
      <w:bookmarkStart w:id="60" w:name="_Toc296503157"/>
      <w:r>
        <w:rPr>
          <w:rFonts w:ascii="宋体" w:hAnsi="宋体"/>
          <w:b/>
          <w:color w:val="auto"/>
          <w:sz w:val="21"/>
          <w:szCs w:val="21"/>
          <w:highlight w:val="none"/>
        </w:rPr>
        <w:t xml:space="preserve">. 发包人</w:t>
      </w:r>
      <w:bookmarkEnd w:id="50"/>
      <w:r/>
      <w:bookmarkEnd w:id="51"/>
      <w:r/>
      <w:bookmarkEnd w:id="52"/>
      <w:r/>
      <w:bookmarkEnd w:id="53"/>
      <w:r/>
      <w:bookmarkEnd w:id="54"/>
      <w:r/>
      <w:bookmarkEnd w:id="55"/>
      <w:r/>
      <w:bookmarkEnd w:id="56"/>
      <w:r/>
      <w:bookmarkEnd w:id="57"/>
      <w:r/>
      <w:bookmarkEnd w:id="58"/>
      <w:r/>
      <w:bookmarkEnd w:id="59"/>
      <w:r/>
      <w:bookmarkEnd w:id="60"/>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2.2 发包人代表</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发包人代表：</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身份证号：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职    务：</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发包人对发包人代表的授权范围如下：</w:t>
      </w:r>
      <w:r>
        <w:rPr>
          <w:rFonts w:hint="eastAsia" w:ascii="宋体" w:hAnsi="宋体"/>
          <w:color w:val="auto"/>
          <w:sz w:val="21"/>
          <w:szCs w:val="21"/>
          <w:highlight w:val="none"/>
          <w:u w:val="single"/>
        </w:rPr>
        <w:t xml:space="preserve">工程变更签发、工程价款调整的审核、工期顺延的审核，核发开工通知、缓建指令，停工、复工指令，工程款支付审批权，更换或清退不符合要求的施工管理及技术人员。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2.4 施工现场、施工条件和基础资料的提供</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2.4.1 提供施工现场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关于发包人移交施工现场的期限要求：</w:t>
      </w:r>
      <w:r>
        <w:rPr>
          <w:rFonts w:hint="eastAsia" w:ascii="MingLiU_HKSCS" w:hAnsi="MingLiU_HKSCS" w:eastAsia="MingLiU_HKSCS" w:cs="MingLiU_HKSCS"/>
          <w:color w:val="auto"/>
          <w:sz w:val="21"/>
          <w:szCs w:val="21"/>
          <w:highlight w:val="none"/>
          <w:u w:val="single"/>
        </w:rPr>
        <w:t xml:space="preserve"> </w:t>
      </w:r>
      <w:r>
        <w:rPr>
          <w:rFonts w:hint="eastAsia" w:ascii="宋体" w:hAnsi="宋体"/>
          <w:color w:val="auto"/>
          <w:sz w:val="21"/>
          <w:szCs w:val="21"/>
          <w:highlight w:val="none"/>
          <w:u w:val="single"/>
        </w:rPr>
        <w:t xml:space="preserve">开工前移交。</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2.4.2 提供施工条件</w:t>
      </w:r>
      <w:r/>
    </w:p>
    <w:p>
      <w:pPr>
        <w:pStyle w:val="1132"/>
        <w:numPr>
          <w:ilvl w:val="0"/>
          <w:numId w:val="2"/>
        </w:numPr>
        <w:ind w:firstLine="420"/>
        <w:jc w:val="both"/>
        <w:pageBreakBefore w:val="0"/>
        <w:spacing w:line="360" w:lineRule="auto"/>
        <w:widowControl w:val="off"/>
        <w:rPr>
          <w:rFonts w:ascii="宋体" w:hAnsi="宋体"/>
          <w:color w:val="auto"/>
          <w:sz w:val="21"/>
          <w:szCs w:val="21"/>
          <w:highlight w:val="none"/>
          <w:u w:val="single"/>
        </w:rPr>
      </w:pPr>
      <w:r>
        <w:rPr>
          <w:rFonts w:ascii="宋体" w:hAnsi="宋体"/>
          <w:color w:val="auto"/>
          <w:sz w:val="21"/>
          <w:szCs w:val="21"/>
          <w:highlight w:val="none"/>
        </w:rPr>
        <w:t xml:space="preserve">关于发包人应负责提供施工</w:t>
      </w:r>
      <w:r>
        <w:rPr>
          <w:rFonts w:hint="eastAsia" w:ascii="宋体" w:hAnsi="宋体"/>
          <w:color w:val="auto"/>
          <w:sz w:val="21"/>
          <w:szCs w:val="21"/>
          <w:highlight w:val="none"/>
        </w:rPr>
        <w:t xml:space="preserve">所需要的条件，</w:t>
      </w:r>
      <w:r>
        <w:rPr>
          <w:rFonts w:ascii="宋体" w:hAnsi="宋体"/>
          <w:color w:val="auto"/>
          <w:sz w:val="21"/>
          <w:szCs w:val="21"/>
          <w:highlight w:val="none"/>
        </w:rPr>
        <w:t xml:space="preserve">包括：</w:t>
      </w:r>
      <w:r>
        <w:rPr>
          <w:rFonts w:hint="eastAsia" w:ascii="宋体" w:hAnsi="宋体"/>
          <w:color w:val="auto"/>
          <w:sz w:val="21"/>
          <w:szCs w:val="21"/>
          <w:highlight w:val="none"/>
          <w:u w:val="single"/>
        </w:rPr>
        <w:t xml:space="preserve">按通用条款执行；</w:t>
      </w:r>
      <w:r/>
    </w:p>
    <w:p>
      <w:pPr>
        <w:pStyle w:val="1132"/>
        <w:numPr>
          <w:ilvl w:val="0"/>
          <w:numId w:val="2"/>
        </w:numPr>
        <w:ind w:firstLine="420"/>
        <w:jc w:val="both"/>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120" w:after="0" w:line="360" w:lineRule="auto"/>
        <w:rPr>
          <w:rFonts w:ascii="宋体" w:hAnsi="宋体"/>
          <w:b w:val="0"/>
          <w:color w:val="auto"/>
          <w:sz w:val="21"/>
          <w:szCs w:val="21"/>
          <w:highlight w:val="none"/>
        </w:rPr>
      </w:pPr>
      <w:r/>
      <w:bookmarkStart w:id="61" w:name="_Toc351203635"/>
      <w:r>
        <w:rPr>
          <w:rFonts w:ascii="宋体" w:hAnsi="宋体"/>
          <w:b w:val="0"/>
          <w:color w:val="auto"/>
          <w:sz w:val="21"/>
          <w:szCs w:val="21"/>
          <w:highlight w:val="none"/>
        </w:rPr>
        <w:t xml:space="preserve">3</w:t>
      </w:r>
      <w:bookmarkStart w:id="62" w:name="_Toc297120458"/>
      <w:r/>
      <w:bookmarkStart w:id="63" w:name="_Toc292559868"/>
      <w:r/>
      <w:bookmarkStart w:id="64" w:name="_Toc296944497"/>
      <w:r/>
      <w:bookmarkStart w:id="65" w:name="_Toc296503158"/>
      <w:r/>
      <w:bookmarkStart w:id="66" w:name="_Toc297048344"/>
      <w:r/>
      <w:bookmarkStart w:id="67" w:name="_Toc296347157"/>
      <w:r/>
      <w:bookmarkStart w:id="68" w:name="_Toc296891198"/>
      <w:r/>
      <w:bookmarkStart w:id="69" w:name="_Toc296890986"/>
      <w:r/>
      <w:bookmarkStart w:id="70" w:name="_Toc292559363"/>
      <w:r/>
      <w:bookmarkStart w:id="71" w:name="_Toc296346659"/>
      <w:r>
        <w:rPr>
          <w:rFonts w:ascii="宋体" w:hAnsi="宋体"/>
          <w:b w:val="0"/>
          <w:color w:val="auto"/>
          <w:sz w:val="21"/>
          <w:szCs w:val="21"/>
          <w:highlight w:val="none"/>
        </w:rPr>
        <w:t xml:space="preserve">. 承包人</w:t>
      </w:r>
      <w:bookmarkEnd w:id="61"/>
      <w:r/>
      <w:bookmarkEnd w:id="62"/>
      <w:r/>
      <w:bookmarkEnd w:id="63"/>
      <w:r/>
      <w:bookmarkEnd w:id="64"/>
      <w:r/>
      <w:bookmarkEnd w:id="65"/>
      <w:r/>
      <w:bookmarkEnd w:id="66"/>
      <w:r/>
      <w:bookmarkEnd w:id="67"/>
      <w:r/>
      <w:bookmarkEnd w:id="68"/>
      <w:r/>
      <w:bookmarkEnd w:id="69"/>
      <w:r/>
      <w:bookmarkEnd w:id="70"/>
      <w:r/>
      <w:bookmarkEnd w:id="71"/>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3.1 承包人的一般义务</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3.1.1</w:t>
      </w:r>
      <w:r>
        <w:rPr>
          <w:rFonts w:ascii="宋体" w:hAnsi="宋体"/>
          <w:color w:val="auto"/>
          <w:sz w:val="21"/>
          <w:szCs w:val="21"/>
          <w:highlight w:val="none"/>
        </w:rPr>
        <w:t xml:space="preserve">）承包人提交的竣工资料的内容</w:t>
      </w:r>
      <w:r>
        <w:rPr>
          <w:rFonts w:hint="eastAsia" w:ascii="宋体" w:hAnsi="宋体"/>
          <w:color w:val="auto"/>
          <w:sz w:val="21"/>
          <w:szCs w:val="21"/>
          <w:highlight w:val="none"/>
        </w:rPr>
        <w:t xml:space="preserve">及时间</w:t>
      </w:r>
      <w:r>
        <w:rPr>
          <w:rFonts w:ascii="宋体" w:hAnsi="宋体"/>
          <w:color w:val="auto"/>
          <w:sz w:val="21"/>
          <w:szCs w:val="21"/>
          <w:highlight w:val="none"/>
        </w:rPr>
        <w:t xml:space="preserve">：</w:t>
      </w:r>
      <w:r>
        <w:rPr>
          <w:rFonts w:hint="eastAsia" w:ascii="宋体" w:hAnsi="宋体"/>
          <w:color w:val="auto"/>
          <w:sz w:val="21"/>
          <w:szCs w:val="21"/>
          <w:highlight w:val="none"/>
          <w:u w:val="single"/>
        </w:rPr>
        <w:t xml:space="preserve"> 竣工验收后三十日内承包人提供符合城建档案馆要求的竣工图三套,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承包人需要提交的竣工资料套数：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叁套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承包人提交的竣工资料的费用承担</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费用由承包人承担</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 </w:t>
      </w:r>
      <w:r>
        <w:rPr>
          <w:rFonts w:ascii="宋体" w:hAnsi="宋体"/>
          <w:b/>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承包人提交的竣工资料形式要求：</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书面及电子档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56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3.1.2</w:t>
      </w:r>
      <w:r>
        <w:rPr>
          <w:rFonts w:ascii="宋体" w:hAnsi="宋体"/>
          <w:color w:val="auto"/>
          <w:sz w:val="21"/>
          <w:szCs w:val="21"/>
          <w:highlight w:val="none"/>
        </w:rPr>
        <w:t xml:space="preserve">）承包人应履行的其他义务：</w:t>
      </w:r>
      <w:r>
        <w:rPr>
          <w:rFonts w:hint="eastAsia" w:ascii="宋体" w:hAnsi="宋体"/>
          <w:color w:val="auto"/>
          <w:sz w:val="21"/>
          <w:szCs w:val="21"/>
          <w:highlight w:val="none"/>
        </w:rPr>
        <w:t xml:space="preserve">承包人应按约定时间和要求，完成以下工作：</w:t>
      </w:r>
      <w:r>
        <w:rPr>
          <w:rFonts w:ascii="宋体" w:hAnsi="宋体"/>
          <w:color w:val="auto"/>
          <w:sz w:val="21"/>
          <w:szCs w:val="21"/>
          <w:highlight w:val="none"/>
        </w:rPr>
        <w:t xml:space="preserve">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(1)投标前承包人应充分踏勘现场，报价中应包括承包人所需用</w:t>
      </w:r>
      <w:r>
        <w:rPr>
          <w:rFonts w:hint="eastAsia" w:ascii="宋体" w:hAnsi="宋体"/>
          <w:color w:val="auto"/>
          <w:sz w:val="21"/>
          <w:szCs w:val="21"/>
          <w:highlight w:val="none"/>
          <w:u w:val="single"/>
        </w:rPr>
        <w:t xml:space="preserve">的已有施工单位水、电等的一切配合费用，发包人不再因此发生任何费用。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承担施工安全保卫工作及非夜间施工照明的责任和要求：承包人承担现场的安全、保卫、照明等责任和费用；在开工前必须对施工现场进行封闭并按实际现场需要，提供施工安全保卫工作及施工照明等，否则，所造成的一切责任均由承包人负责。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向发包人提供的办公和生活房屋及设施的要求：承包人应按照发包人要求，免费提供相关办公设施。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需承包人办理的有关施工场地交通、环卫环保和施工噪音管理等手续：承包人自行办理有关施工场地交通、城管、环卫和施工噪音管理等手续，不得影响施工工期，并严格按照扬州市城市管理的有关规定以及安全文明施工要求进行施工。现场临时通道按总平面图部署，同时服从发包人的现场调整。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(5)</w:t>
      </w:r>
      <w:r>
        <w:rPr>
          <w:rFonts w:hint="eastAsia" w:ascii="宋体" w:hAnsi="宋体"/>
          <w:color w:val="auto"/>
          <w:sz w:val="21"/>
          <w:szCs w:val="21"/>
          <w:highlight w:val="none"/>
          <w:u w:val="single"/>
        </w:rPr>
        <w:t xml:space="preserve">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 </w:t>
      </w:r>
      <w:r/>
    </w:p>
    <w:p>
      <w:pPr>
        <w:pStyle w:val="1154"/>
        <w:ind w:firstLine="56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(6)</w:t>
      </w:r>
      <w:r>
        <w:rPr>
          <w:rFonts w:hint="eastAsia" w:ascii="宋体" w:hAnsi="宋体"/>
          <w:color w:val="auto"/>
          <w:sz w:val="21"/>
          <w:szCs w:val="21"/>
          <w:highlight w:val="none"/>
          <w:u w:val="single"/>
        </w:rPr>
        <w:t xml:space="preserve">施工场地周围地下管线和邻近建筑物、构筑物（含文物保护建筑）、古树名木的保护要求及费用承担：承包人自行负责承担施工场地周围地下管线和邻近建筑物、构筑物（含文物保护建筑）、古树名木的保护要求，费用按相关规定执行。 </w:t>
      </w:r>
      <w:r/>
    </w:p>
    <w:p>
      <w:pPr>
        <w:pStyle w:val="1154"/>
        <w:ind w:firstLine="56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7</w:t>
      </w:r>
      <w:r>
        <w:rPr>
          <w:rFonts w:hint="eastAsia" w:ascii="宋体" w:hAnsi="宋体"/>
          <w:color w:val="auto"/>
          <w:sz w:val="21"/>
          <w:szCs w:val="21"/>
          <w:highlight w:val="none"/>
          <w:u w:val="single"/>
        </w:rPr>
        <w:t xml:space="preserve">）施工场地清洁卫生的要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w:t>
      </w:r>
      <w:r>
        <w:rPr>
          <w:rFonts w:ascii="宋体" w:hAnsi="宋体"/>
          <w:color w:val="auto"/>
          <w:sz w:val="21"/>
          <w:szCs w:val="21"/>
          <w:highlight w:val="none"/>
          <w:u w:val="single"/>
        </w:rPr>
        <w:t xml:space="preserve">7 </w:t>
      </w:r>
      <w:r>
        <w:rPr>
          <w:rFonts w:hint="eastAsia" w:ascii="宋体" w:hAnsi="宋体"/>
          <w:color w:val="auto"/>
          <w:sz w:val="21"/>
          <w:szCs w:val="21"/>
          <w:highlight w:val="none"/>
          <w:u w:val="single"/>
        </w:rPr>
        <w:t xml:space="preserve">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154"/>
        <w:ind w:firstLine="56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8</w:t>
      </w:r>
      <w:r>
        <w:rPr>
          <w:rFonts w:hint="eastAsia" w:ascii="宋体" w:hAnsi="宋体"/>
          <w:color w:val="auto"/>
          <w:sz w:val="21"/>
          <w:szCs w:val="21"/>
          <w:highlight w:val="none"/>
          <w:u w:val="single"/>
        </w:rPr>
        <w:t xml:space="preserve">）承包人须积极配合业主、监理人协调解决施工现场、周边及外部矛盾，不得以外部矛盾作为工期不能完成的理由。 </w:t>
      </w:r>
      <w:r/>
    </w:p>
    <w:p>
      <w:pPr>
        <w:pStyle w:val="1154"/>
        <w:ind w:firstLine="56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9</w:t>
      </w:r>
      <w:r>
        <w:rPr>
          <w:rFonts w:hint="eastAsia" w:ascii="宋体" w:hAnsi="宋体"/>
          <w:color w:val="auto"/>
          <w:sz w:val="21"/>
          <w:szCs w:val="21"/>
          <w:highlight w:val="none"/>
          <w:u w:val="single"/>
        </w:rPr>
        <w:t xml:space="preserve">）承包人负责做好迎接各类现场检查的配合工作，相关费用在投标中综合考虑。</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3.2 项目负责人</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3.2.1 项目负责人：</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身份证号：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建造师执业资格等级：</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建造师注册证书号：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建造师执业印章号：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安全生产考核合格证书号：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54"/>
        <w:ind w:firstLine="426"/>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039"/>
        <w:ind w:firstLine="420"/>
        <w:pageBreakBefore w:val="0"/>
        <w:spacing w:line="360" w:lineRule="auto"/>
        <w:rPr>
          <w:rFonts w:ascii="宋体" w:hAnsi="宋体"/>
          <w:b/>
          <w:color w:val="auto"/>
          <w:sz w:val="21"/>
          <w:szCs w:val="21"/>
          <w:highlight w:val="none"/>
          <w:u w:val="single"/>
        </w:rPr>
      </w:pPr>
      <w:r>
        <w:rPr>
          <w:rFonts w:hint="eastAsia" w:ascii="宋体" w:hAnsi="宋体"/>
          <w:color w:val="auto"/>
          <w:sz w:val="21"/>
          <w:szCs w:val="21"/>
          <w:highlight w:val="none"/>
        </w:rPr>
        <w:t xml:space="preserve">关于项目负责人每月在施工现场的时间要求：</w:t>
      </w:r>
      <w:r>
        <w:rPr>
          <w:rFonts w:hint="eastAsia" w:ascii="宋体" w:hAnsi="宋体"/>
          <w:color w:val="auto"/>
          <w:sz w:val="21"/>
          <w:szCs w:val="21"/>
          <w:highlight w:val="none"/>
          <w:u w:val="single"/>
        </w:rPr>
        <w:t xml:space="preserve"> </w:t>
      </w:r>
      <w:r>
        <w:rPr>
          <w:rFonts w:hint="eastAsia" w:ascii="宋体" w:hAnsi="宋体"/>
          <w:b/>
          <w:bCs/>
          <w:color w:val="auto"/>
          <w:sz w:val="21"/>
          <w:szCs w:val="21"/>
          <w:highlight w:val="none"/>
          <w:u w:val="single"/>
        </w:rPr>
        <w:t xml:space="preserve">项目负责人每周至少5天，每天至少8小时、每月不少于22天在现场组织施工，因特殊原因不能到岗的需事先得到发包人同意。项目负责人在现场情况以到发包人处的签到、签退登记及发包人和监理人的检查登记为准</w:t>
      </w:r>
      <w:r>
        <w:rPr>
          <w:rFonts w:hint="eastAsia" w:ascii="宋体" w:hAnsi="宋体"/>
          <w:color w:val="auto"/>
          <w:sz w:val="21"/>
          <w:szCs w:val="21"/>
          <w:highlight w:val="none"/>
          <w:u w:val="singl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承包人未提交劳动合同，以及没有为项目负责人缴纳社会保险证明的违约责任：</w:t>
      </w:r>
      <w:r>
        <w:rPr>
          <w:rFonts w:hint="eastAsia" w:ascii="宋体" w:hAnsi="宋体"/>
          <w:color w:val="auto"/>
          <w:sz w:val="21"/>
          <w:szCs w:val="21"/>
          <w:highlight w:val="none"/>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w:t>
      </w:r>
      <w:r/>
    </w:p>
    <w:p>
      <w:pPr>
        <w:pStyle w:val="1039"/>
        <w:ind w:firstLine="420"/>
        <w:pageBreakBefore w:val="0"/>
        <w:spacing w:line="360" w:lineRule="auto"/>
        <w:rPr>
          <w:rFonts w:ascii="宋体" w:hAnsi="宋体"/>
          <w:b/>
          <w:bCs/>
          <w:color w:val="auto"/>
          <w:sz w:val="21"/>
          <w:szCs w:val="21"/>
          <w:highlight w:val="none"/>
          <w:u w:val="single"/>
        </w:rPr>
      </w:pPr>
      <w:r>
        <w:rPr>
          <w:rFonts w:hint="eastAsia" w:ascii="宋体" w:hAnsi="宋体"/>
          <w:color w:val="auto"/>
          <w:sz w:val="21"/>
          <w:szCs w:val="21"/>
          <w:highlight w:val="none"/>
        </w:rPr>
        <w:t xml:space="preserve">项目负责人未经批准，擅自离开施工现场的违约责任：</w:t>
      </w:r>
      <w:r>
        <w:rPr>
          <w:rFonts w:hint="eastAsia" w:ascii="宋体" w:hAnsi="宋体"/>
          <w:b/>
          <w:bCs/>
          <w:color w:val="auto"/>
          <w:sz w:val="21"/>
          <w:szCs w:val="21"/>
          <w:highlight w:val="none"/>
          <w:u w:val="single"/>
        </w:rPr>
        <w:t xml:space="preserve">支付违约金每次300元。每月在现场办公不足22天的，每少一天支付违约金500元。累计达10天，发包解除合同，承包人承担由此造成的损失。</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3.2.3 承包人擅自更换项目负责人的违约责任：</w:t>
      </w:r>
      <w:r>
        <w:rPr>
          <w:rFonts w:hint="eastAsia" w:ascii="宋体" w:hAnsi="宋体"/>
          <w:b/>
          <w:bCs/>
          <w:color w:val="auto"/>
          <w:sz w:val="21"/>
          <w:szCs w:val="21"/>
          <w:highlight w:val="none"/>
          <w:u w:val="single"/>
        </w:rPr>
        <w:t xml:space="preserve">支付违约金5000元，并按发包人要求进行整改。承包人不按要求整改的发包人解除合同，并依法追究承包人由此造成的损失，同时上报建设行政主管部门</w:t>
      </w:r>
      <w:r>
        <w:rPr>
          <w:rFonts w:hint="eastAsia" w:ascii="宋体" w:hAnsi="宋体"/>
          <w:color w:val="auto"/>
          <w:sz w:val="21"/>
          <w:szCs w:val="21"/>
          <w:highlight w:val="non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3.2.4 承包人无正当理由拒绝更换项目负责人的违约责任：</w:t>
      </w:r>
      <w:r>
        <w:rPr>
          <w:rFonts w:hint="eastAsia" w:ascii="宋体" w:hAnsi="宋体"/>
          <w:color w:val="auto"/>
          <w:sz w:val="21"/>
          <w:szCs w:val="21"/>
          <w:highlight w:val="none"/>
          <w:u w:val="single"/>
        </w:rPr>
        <w:t xml:space="preserve">支付违约金一万元，发包人有权解除合同，并依法追究承包人由此造成的损失，同时上报建设行政主管部门</w:t>
      </w:r>
      <w:r>
        <w:rPr>
          <w:rFonts w:hint="eastAsia" w:ascii="宋体" w:hAnsi="宋体"/>
          <w:color w:val="auto"/>
          <w:sz w:val="21"/>
          <w:szCs w:val="21"/>
          <w:highlight w:val="non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3.3 承包人人员</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3.3.1 承包人提交项目管理机构及施工现场管理人员安排报告的期限：</w:t>
      </w:r>
      <w:r>
        <w:rPr>
          <w:rFonts w:hint="eastAsia" w:ascii="宋体" w:hAnsi="宋体"/>
          <w:color w:val="auto"/>
          <w:sz w:val="21"/>
          <w:szCs w:val="21"/>
          <w:highlight w:val="none"/>
          <w:u w:val="single"/>
        </w:rPr>
        <w:t xml:space="preserve">  按通用条款执行</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3.3.3 承包人无正当理由拒绝撤换主要施工管理人员的违约责任：</w:t>
      </w:r>
      <w:r>
        <w:rPr>
          <w:rFonts w:hint="eastAsia" w:ascii="宋体" w:hAnsi="宋体"/>
          <w:b/>
          <w:bCs/>
          <w:color w:val="auto"/>
          <w:sz w:val="21"/>
          <w:szCs w:val="21"/>
          <w:highlight w:val="none"/>
          <w:u w:val="single"/>
        </w:rPr>
        <w:t xml:space="preserve">支付违约金一万元</w:t>
      </w:r>
      <w:r>
        <w:rPr>
          <w:rFonts w:hint="eastAsia" w:ascii="宋体" w:hAnsi="宋体"/>
          <w:color w:val="auto"/>
          <w:sz w:val="21"/>
          <w:szCs w:val="21"/>
          <w:highlight w:val="none"/>
          <w:u w:val="single"/>
        </w:rPr>
        <w:t xml:space="preserve">，发包人有权解除合同，并依法追究承包人造成的损失，同时报相应的建设主管部门处理  。</w:t>
      </w:r>
      <w:r/>
    </w:p>
    <w:p>
      <w:pPr>
        <w:pStyle w:val="1039"/>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3.3.4 承包人主要施工管理人员离开施工现场的批准要求：   </w:t>
      </w:r>
      <w:r>
        <w:rPr>
          <w:rFonts w:hint="eastAsia" w:ascii="宋体" w:hAnsi="宋体"/>
          <w:color w:val="auto"/>
          <w:sz w:val="21"/>
          <w:szCs w:val="21"/>
          <w:highlight w:val="none"/>
          <w:u w:val="single"/>
        </w:rPr>
        <w:t xml:space="preserve"> 执行通用条款</w:t>
      </w:r>
      <w:r>
        <w:rPr>
          <w:rFonts w:hint="eastAsia" w:ascii="宋体" w:hAnsi="宋体"/>
          <w:color w:val="auto"/>
          <w:sz w:val="21"/>
          <w:szCs w:val="21"/>
          <w:highlight w:val="none"/>
        </w:rPr>
        <w:t xml:space="preserve">。</w:t>
      </w:r>
      <w:r/>
    </w:p>
    <w:p>
      <w:pPr>
        <w:pStyle w:val="1039"/>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3.3.5承包人擅自更换主要施工管理人员的违约责任：</w:t>
      </w:r>
      <w:r>
        <w:rPr>
          <w:rFonts w:hint="eastAsia" w:ascii="宋体" w:hAnsi="宋体"/>
          <w:b/>
          <w:bCs/>
          <w:color w:val="auto"/>
          <w:sz w:val="21"/>
          <w:szCs w:val="21"/>
          <w:highlight w:val="none"/>
          <w:u w:val="single"/>
        </w:rPr>
        <w:t xml:space="preserve">支付违约金1000元，发包人有权解除合同，并依法追究承包人由此造成的损失，同时上报建设行政主管部门</w:t>
      </w:r>
      <w:r>
        <w:rPr>
          <w:rFonts w:hint="eastAsia"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承包人主要施工管理人员擅自离开施工现场的违约责任：</w:t>
      </w:r>
      <w:r>
        <w:rPr>
          <w:rFonts w:hint="eastAsia" w:ascii="宋体" w:hAnsi="宋体"/>
          <w:b/>
          <w:bCs/>
          <w:color w:val="auto"/>
          <w:sz w:val="21"/>
          <w:szCs w:val="21"/>
          <w:highlight w:val="none"/>
          <w:u w:val="single"/>
        </w:rPr>
        <w:t xml:space="preserve">未经发包人批准，严禁脱岗或离岗，每次罚款200元/人/次，连续3天不在现场，发包人有权要求更换人员、解除合同，承包人承担所有责任</w:t>
      </w:r>
      <w:r>
        <w:rPr>
          <w:rFonts w:hint="eastAsia" w:ascii="宋体" w:hAnsi="宋体"/>
          <w:b/>
          <w:bCs/>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w:t>
      </w:r>
      <w:bookmarkStart w:id="72" w:name="_Toc297216151"/>
      <w:r/>
      <w:bookmarkStart w:id="73" w:name="_Toc304295523"/>
      <w:r/>
      <w:bookmarkStart w:id="74" w:name="_Toc303539102"/>
      <w:r/>
      <w:bookmarkStart w:id="75" w:name="_Toc312677988"/>
      <w:r/>
      <w:bookmarkStart w:id="76" w:name="_Toc296347158"/>
      <w:r/>
      <w:bookmarkStart w:id="77" w:name="_Toc296890987"/>
      <w:r/>
      <w:bookmarkStart w:id="78" w:name="_Toc297120459"/>
      <w:r/>
      <w:bookmarkStart w:id="79" w:name="_Toc300934945"/>
      <w:r/>
      <w:bookmarkStart w:id="80" w:name="_Toc292559364"/>
      <w:r/>
      <w:bookmarkStart w:id="81" w:name="_Toc292559869"/>
      <w:r/>
      <w:bookmarkStart w:id="82" w:name="_Toc296503159"/>
      <w:r/>
      <w:bookmarkStart w:id="83" w:name="_Toc297048345"/>
      <w:r/>
      <w:bookmarkStart w:id="84" w:name="_Toc296944498"/>
      <w:r/>
      <w:bookmarkStart w:id="85" w:name="_Toc296346660"/>
      <w:r/>
      <w:bookmarkStart w:id="86" w:name="_Toc297123492"/>
      <w:r/>
      <w:bookmarkStart w:id="87" w:name="_Toc296891199"/>
      <w:r>
        <w:rPr>
          <w:rFonts w:ascii="宋体" w:hAnsi="宋体"/>
          <w:color w:val="auto"/>
          <w:sz w:val="21"/>
          <w:szCs w:val="21"/>
          <w:highlight w:val="none"/>
        </w:rPr>
        <w:t xml:space="preserve">.5 分包</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w:t>
      </w:r>
      <w:bookmarkStart w:id="88" w:name="_Toc297216152"/>
      <w:r/>
      <w:bookmarkStart w:id="89" w:name="_Toc296347159"/>
      <w:r/>
      <w:bookmarkStart w:id="90" w:name="_Toc296944499"/>
      <w:r/>
      <w:bookmarkStart w:id="91" w:name="_Toc296890988"/>
      <w:r/>
      <w:bookmarkStart w:id="92" w:name="_Toc300934946"/>
      <w:r/>
      <w:bookmarkStart w:id="93" w:name="_Toc297048346"/>
      <w:r/>
      <w:bookmarkStart w:id="94" w:name="_Toc292559870"/>
      <w:r/>
      <w:bookmarkStart w:id="95" w:name="_Toc296503160"/>
      <w:r/>
      <w:bookmarkStart w:id="96" w:name="_Toc297123493"/>
      <w:r/>
      <w:bookmarkStart w:id="97" w:name="_Toc296346661"/>
      <w:r/>
      <w:bookmarkStart w:id="98" w:name="_Toc297120460"/>
      <w:r/>
      <w:bookmarkStart w:id="99" w:name="_Toc296891200"/>
      <w:r/>
      <w:bookmarkStart w:id="100" w:name="_Toc303539103"/>
      <w:r/>
      <w:bookmarkStart w:id="101" w:name="_Toc292559365"/>
      <w:r/>
      <w:bookmarkStart w:id="102" w:name="_Toc304295524"/>
      <w:r/>
      <w:bookmarkStart w:id="103" w:name="_Toc318581158"/>
      <w:r/>
      <w:bookmarkStart w:id="104" w:name="_Toc312677989"/>
      <w:r>
        <w:rPr>
          <w:rFonts w:ascii="宋体" w:hAnsi="宋体"/>
          <w:color w:val="auto"/>
          <w:sz w:val="21"/>
          <w:szCs w:val="21"/>
          <w:highlight w:val="none"/>
        </w:rPr>
        <w:t xml:space="preserve">.5.1 分包的一般约定</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pStyle w:val="1132"/>
        <w:ind w:firstLine="420"/>
        <w:pageBreakBefore w:val="0"/>
        <w:spacing w:line="360" w:lineRule="auto"/>
        <w:rPr>
          <w:rFonts w:ascii="宋体" w:hAnsi="宋体"/>
          <w:color w:val="auto"/>
          <w:sz w:val="21"/>
          <w:szCs w:val="21"/>
          <w:highlight w:val="none"/>
          <w:u w:val="single"/>
        </w:rPr>
      </w:pPr>
      <w:r/>
      <w:bookmarkStart w:id="105" w:name="_Toc304295525"/>
      <w:r/>
      <w:bookmarkStart w:id="106" w:name="_Toc296347160"/>
      <w:r/>
      <w:bookmarkStart w:id="107" w:name="_Toc296944500"/>
      <w:r/>
      <w:bookmarkStart w:id="108" w:name="_Toc296890989"/>
      <w:r/>
      <w:bookmarkStart w:id="109" w:name="_Toc297048347"/>
      <w:r/>
      <w:bookmarkStart w:id="110" w:name="_Toc303539104"/>
      <w:r/>
      <w:bookmarkStart w:id="111" w:name="_Toc300934947"/>
      <w:r/>
      <w:bookmarkStart w:id="112" w:name="_Toc296891201"/>
      <w:r/>
      <w:bookmarkStart w:id="113" w:name="_Toc297123494"/>
      <w:r/>
      <w:bookmarkStart w:id="114" w:name="_Toc297120461"/>
      <w:r/>
      <w:bookmarkStart w:id="115" w:name="_Toc296503161"/>
      <w:r/>
      <w:bookmarkStart w:id="116" w:name="_Toc296346662"/>
      <w:r/>
      <w:bookmarkStart w:id="117" w:name="_Toc297216153"/>
      <w:r>
        <w:rPr>
          <w:rFonts w:ascii="宋体" w:hAnsi="宋体"/>
          <w:color w:val="auto"/>
          <w:sz w:val="21"/>
          <w:szCs w:val="21"/>
          <w:highlight w:val="none"/>
        </w:rPr>
        <w:t xml:space="preserve">禁止分包的工程包括：</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b/>
          <w:color w:val="auto"/>
          <w:sz w:val="21"/>
          <w:szCs w:val="21"/>
          <w:highlight w:val="none"/>
        </w:rPr>
      </w:pPr>
      <w:r>
        <w:rPr>
          <w:rFonts w:ascii="宋体" w:hAnsi="宋体"/>
          <w:color w:val="auto"/>
          <w:sz w:val="21"/>
          <w:szCs w:val="21"/>
          <w:highlight w:val="none"/>
        </w:rPr>
        <w:t xml:space="preserve">主体结构、关键性工作的范围：</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按相关规范、标准执行。</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bookmarkStart w:id="118" w:name="_Toc312677990"/>
      <w:r/>
      <w:bookmarkStart w:id="119" w:name="_Toc318581159"/>
      <w:r>
        <w:rPr>
          <w:rFonts w:ascii="宋体" w:hAnsi="宋体"/>
          <w:color w:val="auto"/>
          <w:sz w:val="21"/>
          <w:szCs w:val="21"/>
          <w:highlight w:val="none"/>
        </w:rPr>
        <w:t xml:space="preserve">  3.5.2分包的确定</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允许分包的专业工程包括：</w:t>
      </w:r>
      <w:r>
        <w:rPr>
          <w:rFonts w:hint="eastAsia" w:ascii="宋体" w:hAnsi="宋体"/>
          <w:color w:val="auto"/>
          <w:sz w:val="21"/>
          <w:szCs w:val="21"/>
          <w:highlight w:val="none"/>
          <w:u w:val="single"/>
        </w:rPr>
        <w:t xml:space="preserve">无。</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本工程发包人同意承包人分包的工程：</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其他关于分包的约定：</w:t>
      </w:r>
      <w:r>
        <w:rPr>
          <w:rFonts w:hint="eastAsia"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3.5.4 分包合同价款</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关于分包合同价款支付的约定：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118"/>
      <w:r/>
      <w:bookmarkEnd w:id="119"/>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3.6 工程照管与成品、半成品保护</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承包人负责照管工程及工程相关的材料、工程设备的起始时间：</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3.7 履约担保</w:t>
      </w:r>
      <w:r/>
    </w:p>
    <w:p>
      <w:pPr>
        <w:ind w:right="-155" w:firstLine="525"/>
        <w:jc w:val="left"/>
        <w:pageBreakBefore w:val="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承包人是否提供履约担保：</w:t>
      </w:r>
      <w:r>
        <w:rPr>
          <w:rFonts w:hint="eastAsia" w:ascii="宋体" w:hAnsi="宋体"/>
          <w:color w:val="auto"/>
          <w:sz w:val="21"/>
          <w:szCs w:val="21"/>
          <w:highlight w:val="none"/>
          <w:u w:val="single"/>
        </w:rPr>
        <w:t xml:space="preserve">是，中标人向</w:t>
      </w:r>
      <w:r>
        <w:rPr>
          <w:rFonts w:hint="eastAsia" w:ascii="宋体" w:hAnsi="宋体"/>
          <w:color w:val="auto"/>
          <w:sz w:val="21"/>
          <w:szCs w:val="21"/>
          <w:highlight w:val="none"/>
          <w:u w:val="single"/>
          <w:lang w:val="en-US" w:eastAsia="zh-CN"/>
        </w:rPr>
        <w:t xml:space="preserve">招标人</w:t>
      </w:r>
      <w:r>
        <w:rPr>
          <w:rFonts w:hint="eastAsia" w:ascii="宋体" w:hAnsi="宋体"/>
          <w:color w:val="auto"/>
          <w:sz w:val="21"/>
          <w:szCs w:val="21"/>
          <w:highlight w:val="none"/>
          <w:u w:val="single"/>
        </w:rPr>
        <w:t xml:space="preserve">提交合同总价的 </w:t>
      </w:r>
      <w:r>
        <w:rPr>
          <w:rFonts w:hint="eastAsia" w:ascii="宋体" w:hAnsi="宋体"/>
          <w:color w:val="auto"/>
          <w:sz w:val="21"/>
          <w:szCs w:val="21"/>
          <w:highlight w:val="none"/>
          <w:u w:val="single"/>
          <w:lang w:val="en-US" w:eastAsia="zh-CN"/>
        </w:rPr>
        <w:t xml:space="preserve">5</w:t>
      </w:r>
      <w:r>
        <w:rPr>
          <w:rFonts w:hint="eastAsia" w:ascii="宋体" w:hAnsi="宋体"/>
          <w:color w:val="auto"/>
          <w:sz w:val="21"/>
          <w:szCs w:val="21"/>
          <w:highlight w:val="none"/>
          <w:u w:val="single"/>
        </w:rPr>
        <w:t xml:space="preserve">%的履约保证金</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承包人可自主选择以现金或支票、汇票、本票、保函等形式缴纳，保函期限为合同生效之日起至工程竣工验收合格之日止</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。合同履行结束后，承包人凭采购人签署的验收报告、履约保证金收据原件，由采购人一次性退还。</w:t>
      </w:r>
      <w:r/>
    </w:p>
    <w:p>
      <w:pPr>
        <w:pStyle w:val="1163"/>
        <w:ind w:firstLine="420"/>
        <w:pageBreakBefore w:val="0"/>
        <w:spacing w:before="0" w:after="0" w:line="360" w:lineRule="auto"/>
        <w:rPr>
          <w:rFonts w:ascii="宋体" w:hAnsi="宋体"/>
          <w:b w:val="0"/>
          <w:color w:val="auto"/>
          <w:sz w:val="21"/>
          <w:szCs w:val="21"/>
          <w:highlight w:val="none"/>
        </w:rPr>
      </w:pPr>
      <w:r/>
      <w:bookmarkStart w:id="120" w:name="_Toc351203636"/>
      <w:r>
        <w:rPr>
          <w:rFonts w:ascii="宋体" w:hAnsi="宋体"/>
          <w:b w:val="0"/>
          <w:color w:val="auto"/>
          <w:sz w:val="21"/>
          <w:szCs w:val="21"/>
          <w:highlight w:val="none"/>
        </w:rPr>
        <w:t xml:space="preserve">4</w:t>
      </w:r>
      <w:bookmarkStart w:id="121" w:name="_Toc292559871"/>
      <w:r/>
      <w:bookmarkStart w:id="122" w:name="_Toc296890990"/>
      <w:r/>
      <w:bookmarkStart w:id="123" w:name="_Toc296347161"/>
      <w:r/>
      <w:bookmarkStart w:id="124" w:name="_Toc267251413"/>
      <w:r/>
      <w:bookmarkStart w:id="125" w:name="_Toc296346663"/>
      <w:r/>
      <w:bookmarkStart w:id="126" w:name="_Toc296944501"/>
      <w:r/>
      <w:bookmarkStart w:id="127" w:name="_Toc297120462"/>
      <w:r/>
      <w:bookmarkStart w:id="128" w:name="_Toc296891202"/>
      <w:r/>
      <w:bookmarkStart w:id="129" w:name="_Toc297048348"/>
      <w:r/>
      <w:bookmarkStart w:id="130" w:name="_Toc296503162"/>
      <w:r/>
      <w:bookmarkStart w:id="131" w:name="_Toc292559366"/>
      <w:r>
        <w:rPr>
          <w:rFonts w:ascii="宋体" w:hAnsi="宋体"/>
          <w:b w:val="0"/>
          <w:color w:val="auto"/>
          <w:sz w:val="21"/>
          <w:szCs w:val="21"/>
          <w:highlight w:val="none"/>
        </w:rPr>
        <w:t xml:space="preserve">. 监</w:t>
      </w:r>
      <w:bookmarkEnd w:id="121"/>
      <w:r/>
      <w:bookmarkEnd w:id="122"/>
      <w:r/>
      <w:bookmarkEnd w:id="123"/>
      <w:r/>
      <w:bookmarkEnd w:id="124"/>
      <w:r/>
      <w:bookmarkEnd w:id="125"/>
      <w:r/>
      <w:bookmarkEnd w:id="126"/>
      <w:r/>
      <w:bookmarkEnd w:id="127"/>
      <w:r/>
      <w:bookmarkEnd w:id="128"/>
      <w:r/>
      <w:bookmarkEnd w:id="129"/>
      <w:r/>
      <w:bookmarkEnd w:id="130"/>
      <w:r/>
      <w:bookmarkEnd w:id="131"/>
      <w:r>
        <w:rPr>
          <w:rFonts w:ascii="宋体" w:hAnsi="宋体"/>
          <w:b w:val="0"/>
          <w:color w:val="auto"/>
          <w:sz w:val="21"/>
          <w:szCs w:val="21"/>
          <w:highlight w:val="none"/>
        </w:rPr>
        <w:t xml:space="preserve">理人</w:t>
      </w:r>
      <w:bookmarkEnd w:id="120"/>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4.1监理人的一般规定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关于监理人的监理内容：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见监理合同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关于监理人的监理权限：</w:t>
      </w:r>
      <w:r>
        <w:rPr>
          <w:rFonts w:hint="eastAsia" w:ascii="宋体" w:hAnsi="宋体"/>
          <w:color w:val="auto"/>
          <w:sz w:val="21"/>
          <w:szCs w:val="21"/>
          <w:highlight w:val="none"/>
          <w:u w:val="single"/>
        </w:rPr>
        <w:t xml:space="preserve">受发包人委托对工程质量、进度、投资、安全进行控制、并做好合同管理、信息管理和协调工作</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关于监理人在施工现场的办公场所、生活场所的提供和费用承担的约定：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承包人免费提供办公室1间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after="120" w:line="360" w:lineRule="auto"/>
        <w:rPr>
          <w:rFonts w:ascii="宋体" w:hAnsi="宋体"/>
          <w:color w:val="auto"/>
          <w:sz w:val="21"/>
          <w:szCs w:val="21"/>
          <w:highlight w:val="none"/>
        </w:rPr>
      </w:pPr>
      <w:r>
        <w:rPr>
          <w:rFonts w:ascii="宋体" w:hAnsi="宋体"/>
          <w:color w:val="auto"/>
          <w:sz w:val="21"/>
          <w:szCs w:val="21"/>
          <w:highlight w:val="none"/>
        </w:rPr>
        <w:t xml:space="preserve">4.2 监理人员</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总监理工程师：</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姓    名：</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职    务：</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监理工程师执业资格证书号：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联系电话：</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电子信箱：</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通信地址：</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关于监理人的其他约定：</w:t>
      </w:r>
      <w:r>
        <w:rPr>
          <w:rFonts w:hint="eastAsia" w:ascii="宋体" w:hAnsi="宋体"/>
          <w:color w:val="auto"/>
          <w:sz w:val="21"/>
          <w:szCs w:val="21"/>
          <w:highlight w:val="none"/>
          <w:u w:val="single"/>
        </w:rPr>
        <w:t xml:space="preserve">   /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4.4 商定或确定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在发包人和承包人不能通过协商达成一致意见时，发包人授权监理人对以下事项进行确定：</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按照通用条款执行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b w:val="0"/>
          <w:color w:val="auto"/>
          <w:sz w:val="21"/>
          <w:szCs w:val="21"/>
          <w:highlight w:val="none"/>
        </w:rPr>
      </w:pPr>
      <w:r/>
      <w:bookmarkStart w:id="132" w:name="_Toc267251418"/>
      <w:r/>
      <w:bookmarkStart w:id="133" w:name="_Toc351203637"/>
      <w:r>
        <w:rPr>
          <w:rFonts w:ascii="宋体" w:hAnsi="宋体"/>
          <w:b w:val="0"/>
          <w:color w:val="auto"/>
          <w:sz w:val="21"/>
          <w:szCs w:val="21"/>
          <w:highlight w:val="none"/>
        </w:rPr>
        <w:t xml:space="preserve">5</w:t>
      </w:r>
      <w:bookmarkEnd w:id="132"/>
      <w:r/>
      <w:bookmarkStart w:id="134" w:name="_Toc296503163"/>
      <w:r/>
      <w:bookmarkStart w:id="135" w:name="_Toc296944502"/>
      <w:r/>
      <w:bookmarkStart w:id="136" w:name="_Toc292559367"/>
      <w:r/>
      <w:bookmarkStart w:id="137" w:name="_Toc297120463"/>
      <w:r/>
      <w:bookmarkStart w:id="138" w:name="_Toc296891203"/>
      <w:r/>
      <w:bookmarkStart w:id="139" w:name="_Toc292559872"/>
      <w:r/>
      <w:bookmarkStart w:id="140" w:name="_Toc296346664"/>
      <w:r/>
      <w:bookmarkStart w:id="141" w:name="_Toc296347162"/>
      <w:r/>
      <w:bookmarkStart w:id="142" w:name="_Toc296890991"/>
      <w:r/>
      <w:bookmarkStart w:id="143" w:name="_Toc297048349"/>
      <w:r>
        <w:rPr>
          <w:rFonts w:ascii="宋体" w:hAnsi="宋体"/>
          <w:b w:val="0"/>
          <w:color w:val="auto"/>
          <w:sz w:val="21"/>
          <w:szCs w:val="21"/>
          <w:highlight w:val="none"/>
        </w:rPr>
        <w:t xml:space="preserve">. 工程质量</w:t>
      </w:r>
      <w:bookmarkEnd w:id="133"/>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5.1 质量要求</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5</w:t>
      </w:r>
      <w:bookmarkStart w:id="144" w:name="_Toc303539106"/>
      <w:r/>
      <w:bookmarkStart w:id="145" w:name="_Toc297123496"/>
      <w:r/>
      <w:bookmarkStart w:id="146" w:name="_Toc304295527"/>
      <w:r/>
      <w:bookmarkStart w:id="147" w:name="_Toc312677997"/>
      <w:r/>
      <w:bookmarkStart w:id="148" w:name="_Toc300934949"/>
      <w:r/>
      <w:bookmarkStart w:id="149" w:name="_Toc318581164"/>
      <w:r/>
      <w:bookmarkStart w:id="150" w:name="_Toc297216155"/>
      <w:r>
        <w:rPr>
          <w:rFonts w:ascii="宋体" w:hAnsi="宋体"/>
          <w:color w:val="auto"/>
          <w:sz w:val="21"/>
          <w:szCs w:val="21"/>
          <w:highlight w:val="none"/>
        </w:rPr>
        <w:t xml:space="preserve">.1.1 </w:t>
      </w:r>
      <w:r>
        <w:rPr>
          <w:rFonts w:ascii="宋体" w:hAnsi="宋体" w:cs="宋体"/>
          <w:color w:val="auto"/>
          <w:sz w:val="21"/>
          <w:szCs w:val="21"/>
          <w:highlight w:val="none"/>
        </w:rPr>
        <w:t xml:space="preserve">特殊质量标准和要求</w:t>
      </w:r>
      <w:r>
        <w:rPr>
          <w:rFonts w:hint="eastAsia" w:ascii="宋体" w:hAnsi="宋体" w:cs="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s="宋体"/>
          <w:color w:val="auto"/>
          <w:sz w:val="21"/>
          <w:szCs w:val="21"/>
          <w:highlight w:val="none"/>
        </w:rPr>
        <w:t xml:space="preserve">关于工程奖项的约定：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5.3 隐蔽工程检查</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5.3.2承包人提前通知监理人隐蔽工程检查的期限的约定：</w:t>
      </w:r>
      <w:r>
        <w:rPr>
          <w:rFonts w:hint="eastAsia" w:ascii="宋体" w:hAnsi="宋体"/>
          <w:color w:val="auto"/>
          <w:sz w:val="21"/>
          <w:szCs w:val="21"/>
          <w:highlight w:val="none"/>
          <w:u w:val="single"/>
        </w:rPr>
        <w:t xml:space="preserve">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监理人不能按时进行检查时，应提前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24</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小时提交书面延期要求。</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关于延期最长不得超过：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48</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验收时间：</w:t>
      </w:r>
      <w:bookmarkStart w:id="151" w:name="_Toc351203638"/>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63"/>
        <w:pageBreakBefore w:val="0"/>
        <w:spacing w:before="0" w:after="0" w:line="360" w:lineRule="auto"/>
        <w:rPr>
          <w:rFonts w:ascii="宋体" w:hAnsi="宋体"/>
          <w:b w:val="0"/>
          <w:color w:val="auto"/>
          <w:sz w:val="21"/>
          <w:szCs w:val="21"/>
          <w:highlight w:val="none"/>
        </w:rPr>
      </w:pPr>
      <w:r>
        <w:rPr>
          <w:rFonts w:ascii="宋体" w:hAnsi="宋体"/>
          <w:b w:val="0"/>
          <w:color w:val="auto"/>
          <w:sz w:val="21"/>
          <w:szCs w:val="21"/>
          <w:highlight w:val="none"/>
        </w:rPr>
        <w:t xml:space="preserve">6. 安全文明施工与环境保护</w:t>
      </w:r>
      <w:bookmarkEnd w:id="151"/>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6.1安全文明施工</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6.1.1 项目安全生产的达标目标及相应事项的约定：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hint="eastAsia" w:ascii="宋体" w:hAnsi="宋体"/>
          <w:b/>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6.1.4 关于治安保卫的特别约定：</w:t>
      </w:r>
      <w:r>
        <w:rPr>
          <w:rFonts w:hint="eastAsia" w:ascii="宋体" w:hAnsi="宋体"/>
          <w:color w:val="auto"/>
          <w:sz w:val="21"/>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关于编制施工场地治安管理计划的约定：</w:t>
      </w:r>
      <w:r>
        <w:rPr>
          <w:rFonts w:hint="eastAsia" w:ascii="宋体" w:hAnsi="宋体"/>
          <w:color w:val="auto"/>
          <w:sz w:val="21"/>
          <w:szCs w:val="21"/>
          <w:highlight w:val="none"/>
          <w:u w:val="single"/>
        </w:rPr>
        <w:t xml:space="preserve">由承包人征求发包人意见后编制施工场地治安管理计划并报监理人、发包人同意后执行。其他按通用条款执行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6.1.5 文明施工</w:t>
      </w:r>
      <w:r/>
    </w:p>
    <w:p>
      <w:pPr>
        <w:pStyle w:val="1132"/>
        <w:ind w:firstLine="420"/>
        <w:pageBreakBefore w:val="0"/>
        <w:spacing w:line="360" w:lineRule="auto"/>
        <w:rPr>
          <w:rFonts w:ascii="宋体" w:hAnsi="宋体"/>
          <w:b/>
          <w:color w:val="auto"/>
          <w:sz w:val="21"/>
          <w:szCs w:val="21"/>
          <w:highlight w:val="none"/>
          <w:u w:val="single"/>
        </w:rPr>
      </w:pPr>
      <w:r>
        <w:rPr>
          <w:rFonts w:hint="eastAsia" w:ascii="宋体" w:hAnsi="宋体"/>
          <w:color w:val="auto"/>
          <w:sz w:val="21"/>
          <w:szCs w:val="21"/>
          <w:highlight w:val="none"/>
        </w:rPr>
        <w:t xml:space="preserve">合同当事人对文明施工的要求：</w:t>
      </w:r>
      <w:r>
        <w:rPr>
          <w:rFonts w:hint="eastAsia" w:ascii="宋体" w:hAnsi="宋体"/>
          <w:color w:val="auto"/>
          <w:sz w:val="21"/>
          <w:szCs w:val="21"/>
          <w:highlight w:val="none"/>
          <w:u w:val="single"/>
        </w:rPr>
        <w:t xml:space="preserve">按通用条款及扬州市相关规定执行</w:t>
      </w:r>
      <w:r>
        <w:rPr>
          <w:rFonts w:hint="eastAsia"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6.1.6 关于安全文明施工费支付比例和支付期限的约定：</w:t>
      </w:r>
      <w:r>
        <w:rPr>
          <w:rFonts w:hint="eastAsia" w:ascii="宋体" w:hAnsi="宋体"/>
          <w:color w:val="auto"/>
          <w:sz w:val="21"/>
          <w:szCs w:val="21"/>
          <w:highlight w:val="none"/>
          <w:u w:val="single"/>
        </w:rPr>
        <w:t xml:space="preserve">/</w:t>
      </w:r>
      <w:bookmarkEnd w:id="144"/>
      <w:r/>
      <w:bookmarkEnd w:id="145"/>
      <w:r/>
      <w:bookmarkEnd w:id="146"/>
      <w:r/>
      <w:bookmarkEnd w:id="147"/>
      <w:r/>
      <w:bookmarkEnd w:id="148"/>
      <w:r/>
      <w:bookmarkEnd w:id="149"/>
      <w:r/>
      <w:bookmarkEnd w:id="150"/>
      <w:r/>
      <w:r/>
    </w:p>
    <w:p>
      <w:pPr>
        <w:pStyle w:val="1163"/>
        <w:pageBreakBefore w:val="0"/>
        <w:spacing w:before="0" w:after="0" w:line="360" w:lineRule="auto"/>
        <w:rPr>
          <w:rFonts w:ascii="宋体" w:hAnsi="宋体"/>
          <w:b w:val="0"/>
          <w:color w:val="auto"/>
          <w:sz w:val="21"/>
          <w:szCs w:val="21"/>
          <w:highlight w:val="none"/>
        </w:rPr>
      </w:pPr>
      <w:r/>
      <w:bookmarkStart w:id="152" w:name="_Toc351203639"/>
      <w:r>
        <w:rPr>
          <w:rFonts w:ascii="宋体" w:hAnsi="宋体"/>
          <w:b w:val="0"/>
          <w:color w:val="auto"/>
          <w:sz w:val="21"/>
          <w:szCs w:val="21"/>
          <w:highlight w:val="none"/>
        </w:rPr>
        <w:t xml:space="preserve">7. 工期和进度</w:t>
      </w:r>
      <w:bookmarkEnd w:id="152"/>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7.1 施工组织设计</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7.1.</w:t>
      </w:r>
      <w:r>
        <w:rPr>
          <w:rFonts w:hint="eastAsia" w:ascii="宋体" w:hAnsi="宋体"/>
          <w:color w:val="auto"/>
          <w:sz w:val="21"/>
          <w:szCs w:val="21"/>
          <w:highlight w:val="none"/>
        </w:rPr>
        <w:t xml:space="preserve">1 合同当事人约定的</w:t>
      </w:r>
      <w:r>
        <w:rPr>
          <w:rFonts w:ascii="宋体" w:hAnsi="宋体"/>
          <w:color w:val="auto"/>
          <w:sz w:val="21"/>
          <w:szCs w:val="21"/>
          <w:highlight w:val="none"/>
        </w:rPr>
        <w:t xml:space="preserve">施工组织设计</w:t>
      </w:r>
      <w:r>
        <w:rPr>
          <w:rFonts w:hint="eastAsia" w:ascii="宋体" w:hAnsi="宋体"/>
          <w:color w:val="auto"/>
          <w:sz w:val="21"/>
          <w:szCs w:val="21"/>
          <w:highlight w:val="none"/>
        </w:rPr>
        <w:t xml:space="preserve">应包括的其他内容</w:t>
      </w:r>
      <w:r>
        <w:rPr>
          <w:rFonts w:ascii="宋体" w:hAnsi="宋体"/>
          <w:color w:val="auto"/>
          <w:sz w:val="21"/>
          <w:szCs w:val="21"/>
          <w:highlight w:val="none"/>
        </w:rPr>
        <w:t xml:space="preserve">：</w:t>
      </w:r>
      <w:r>
        <w:rPr>
          <w:rFonts w:hint="eastAsia" w:ascii="宋体" w:hAnsi="宋体"/>
          <w:color w:val="auto"/>
          <w:sz w:val="21"/>
          <w:szCs w:val="21"/>
          <w:highlight w:val="none"/>
          <w:u w:val="single"/>
        </w:rPr>
        <w:t xml:space="preserve">  /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7.1.2 施工组织设计的提交和修改</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承包人提交详细施工组织设计的期限的约定：</w:t>
      </w:r>
      <w:r>
        <w:rPr>
          <w:rFonts w:hint="eastAsia" w:ascii="宋体" w:hAnsi="宋体"/>
          <w:color w:val="auto"/>
          <w:sz w:val="21"/>
          <w:szCs w:val="21"/>
          <w:highlight w:val="none"/>
          <w:u w:val="single"/>
        </w:rPr>
        <w:t xml:space="preserve">   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发包人和监理人在收到</w:t>
      </w:r>
      <w:r>
        <w:rPr>
          <w:rFonts w:hint="eastAsia" w:ascii="宋体" w:hAnsi="宋体"/>
          <w:color w:val="auto"/>
          <w:sz w:val="21"/>
          <w:szCs w:val="21"/>
          <w:highlight w:val="none"/>
        </w:rPr>
        <w:t xml:space="preserve">详细的施工组织设计</w:t>
      </w:r>
      <w:r>
        <w:rPr>
          <w:rFonts w:ascii="宋体" w:hAnsi="宋体"/>
          <w:color w:val="auto"/>
          <w:sz w:val="21"/>
          <w:szCs w:val="21"/>
          <w:highlight w:val="none"/>
        </w:rPr>
        <w:t xml:space="preserve">后确认或提出修改意见的期限：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53" w:name="_Toc312677479"/>
      <w:r/>
      <w:bookmarkStart w:id="154" w:name="_Toc297123514"/>
      <w:r/>
      <w:bookmarkStart w:id="155" w:name="_Toc312678005"/>
      <w:r/>
      <w:bookmarkStart w:id="156" w:name="_Toc303539123"/>
      <w:r/>
      <w:bookmarkStart w:id="157" w:name="_Toc300934966"/>
      <w:r/>
      <w:bookmarkStart w:id="158" w:name="_Toc304295541"/>
      <w:r/>
      <w:bookmarkStart w:id="159" w:name="_Toc297216173"/>
      <w:r>
        <w:rPr>
          <w:rFonts w:ascii="宋体" w:hAnsi="宋体"/>
          <w:color w:val="auto"/>
          <w:sz w:val="21"/>
          <w:szCs w:val="21"/>
          <w:highlight w:val="none"/>
        </w:rPr>
        <w:t xml:space="preserve">.2 施工进度计划</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7.2.2 施工进度计划的修订</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发包人和监理人在收到修订的施工进度计划后确认或提出修改意见的期限：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7.3 开工</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7.3.1 开工准备</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关于承包人提交工程开工报审表的期限：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关于发包人应完成的其他开工准备工作及期限：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关于承包人应完成的其他开工准备工作及期限：</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7.3.2开工通知</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因发包人原因造成监理人未能在计划开工日期之日起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90</w:t>
      </w:r>
      <w:r>
        <w:rPr>
          <w:rFonts w:ascii="宋体" w:hAnsi="宋体"/>
          <w:color w:val="auto"/>
          <w:sz w:val="21"/>
          <w:szCs w:val="21"/>
          <w:highlight w:val="none"/>
        </w:rPr>
        <w:t xml:space="preserve">天内发出开工通知的，承包人有权提出价格调整要求，或者解除合同。</w:t>
      </w:r>
      <w:bookmarkEnd w:id="153"/>
      <w:r/>
      <w:bookmarkEnd w:id="154"/>
      <w:r/>
      <w:bookmarkEnd w:id="155"/>
      <w:r/>
      <w:bookmarkEnd w:id="156"/>
      <w:r/>
      <w:bookmarkEnd w:id="157"/>
      <w:r/>
      <w:bookmarkEnd w:id="158"/>
      <w:r/>
      <w:bookmarkEnd w:id="15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7.4 测量放线</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7.4.1发包人通过监理人向承包人提供测量基准点、基准线和水准点及其书面资料的期限：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60" w:name="_Toc312677484"/>
      <w:r/>
      <w:bookmarkStart w:id="161" w:name="_Toc312678010"/>
      <w:r/>
      <w:bookmarkStart w:id="162" w:name="_Toc297123516"/>
      <w:r/>
      <w:bookmarkStart w:id="163" w:name="_Toc304295546"/>
      <w:r/>
      <w:bookmarkStart w:id="164" w:name="_Toc297216175"/>
      <w:r/>
      <w:bookmarkStart w:id="165" w:name="_Toc300934968"/>
      <w:r/>
      <w:bookmarkStart w:id="166" w:name="_Toc303539125"/>
      <w:r>
        <w:rPr>
          <w:rFonts w:ascii="宋体" w:hAnsi="宋体"/>
          <w:color w:val="auto"/>
          <w:sz w:val="21"/>
          <w:szCs w:val="21"/>
          <w:highlight w:val="none"/>
        </w:rPr>
        <w:t xml:space="preserve">.5 工期延误</w:t>
      </w:r>
      <w:bookmarkEnd w:id="160"/>
      <w:r/>
      <w:bookmarkEnd w:id="161"/>
      <w:r/>
      <w:bookmarkEnd w:id="162"/>
      <w:r/>
      <w:bookmarkEnd w:id="163"/>
      <w:r/>
      <w:bookmarkEnd w:id="164"/>
      <w:r/>
      <w:bookmarkEnd w:id="165"/>
      <w:r/>
      <w:bookmarkEnd w:id="16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7.5.1 因发包人原因导致工期延误</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（7）因发包人原因导致工期延误的其他情形：</w:t>
      </w:r>
      <w:r>
        <w:rPr>
          <w:rFonts w:ascii="宋体" w:hAnsi="宋体"/>
          <w:color w:val="auto"/>
          <w:sz w:val="21"/>
          <w:szCs w:val="21"/>
          <w:highlight w:val="none"/>
          <w:u w:val="single"/>
        </w:rPr>
        <w:t xml:space="preserve">因发包人原因造成的工期延误</w:t>
      </w:r>
      <w:r>
        <w:rPr>
          <w:rFonts w:hint="eastAsia" w:ascii="宋体" w:hAnsi="宋体"/>
          <w:color w:val="auto"/>
          <w:sz w:val="21"/>
          <w:szCs w:val="21"/>
          <w:highlight w:val="none"/>
          <w:u w:val="single"/>
        </w:rPr>
        <w:t xml:space="preserve">，且该项延误对关键线路的工期造成延误时</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工期予以顺延</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67" w:name="_Toc318581169"/>
      <w:r/>
      <w:bookmarkStart w:id="168" w:name="_Toc312677486"/>
      <w:r/>
      <w:bookmarkStart w:id="169" w:name="_Toc312678012"/>
      <w:r/>
      <w:bookmarkStart w:id="170" w:name="_Toc297216177"/>
      <w:r/>
      <w:bookmarkStart w:id="171" w:name="_Toc304295548"/>
      <w:r/>
      <w:bookmarkStart w:id="172" w:name="_Toc297123518"/>
      <w:r/>
      <w:bookmarkStart w:id="173" w:name="_Toc303539127"/>
      <w:r/>
      <w:bookmarkStart w:id="174" w:name="_Toc300934970"/>
      <w:r>
        <w:rPr>
          <w:rFonts w:ascii="宋体" w:hAnsi="宋体"/>
          <w:color w:val="auto"/>
          <w:sz w:val="21"/>
          <w:szCs w:val="21"/>
          <w:highlight w:val="none"/>
        </w:rPr>
        <w:t xml:space="preserve">.5.2 因承包人原因导致工期延误</w:t>
      </w:r>
      <w:bookmarkEnd w:id="167"/>
      <w:r/>
      <w:bookmarkEnd w:id="168"/>
      <w:r/>
      <w:bookmarkEnd w:id="169"/>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因</w:t>
      </w:r>
      <w:bookmarkStart w:id="175" w:name="_Toc312677487"/>
      <w:r/>
      <w:bookmarkStart w:id="176" w:name="_Toc312678013"/>
      <w:r/>
      <w:bookmarkStart w:id="177" w:name="_Toc318581170"/>
      <w:r>
        <w:rPr>
          <w:rFonts w:ascii="宋体" w:hAnsi="宋体"/>
          <w:color w:val="auto"/>
          <w:sz w:val="21"/>
          <w:szCs w:val="21"/>
          <w:highlight w:val="none"/>
        </w:rPr>
        <w:t xml:space="preserve">承包人原因造成工期延误，逾期竣工违约金的计算方法为：</w:t>
      </w:r>
      <w:bookmarkEnd w:id="170"/>
      <w:r/>
      <w:bookmarkEnd w:id="171"/>
      <w:r/>
      <w:bookmarkEnd w:id="172"/>
      <w:r/>
      <w:bookmarkEnd w:id="173"/>
      <w:r/>
      <w:bookmarkEnd w:id="174"/>
      <w:r/>
      <w:bookmarkEnd w:id="175"/>
      <w:r/>
      <w:bookmarkEnd w:id="176"/>
      <w:r>
        <w:rPr>
          <w:rFonts w:hint="eastAsia" w:ascii="宋体" w:hAnsi="宋体"/>
          <w:color w:val="auto"/>
          <w:sz w:val="21"/>
          <w:szCs w:val="21"/>
          <w:highlight w:val="none"/>
          <w:u w:val="single"/>
        </w:rPr>
        <w:t xml:space="preserve">工期每延误1天，支付合同价万分之五的违约金。因承包人原因超过进度计划30天以上且不能按发包人或监理要求落实整改措施的，发包人有权终止合同，由此造成的损失由承包人承担。</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因承包人原因造成工期延误，逾</w:t>
      </w:r>
      <w:bookmarkStart w:id="178" w:name="_Toc318581171"/>
      <w:r/>
      <w:bookmarkStart w:id="179" w:name="_Toc312678014"/>
      <w:r>
        <w:rPr>
          <w:rFonts w:ascii="宋体" w:hAnsi="宋体"/>
          <w:color w:val="auto"/>
          <w:sz w:val="21"/>
          <w:szCs w:val="21"/>
          <w:highlight w:val="none"/>
        </w:rPr>
        <w:t xml:space="preserve">期竣工违约金的上限：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合同价的10%。</w:t>
      </w:r>
      <w:r>
        <w:rPr>
          <w:rFonts w:ascii="宋体" w:hAnsi="宋体"/>
          <w:color w:val="auto"/>
          <w:sz w:val="21"/>
          <w:szCs w:val="21"/>
          <w:highlight w:val="none"/>
          <w:u w:val="single"/>
        </w:rPr>
        <w:t xml:space="preserve">   </w:t>
      </w:r>
      <w:bookmarkEnd w:id="177"/>
      <w:r/>
      <w:bookmarkEnd w:id="178"/>
      <w:r/>
      <w:bookmarkEnd w:id="17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80" w:name="_Toc297123519"/>
      <w:r/>
      <w:bookmarkStart w:id="181" w:name="_Toc300934971"/>
      <w:r/>
      <w:bookmarkStart w:id="182" w:name="_Toc297216178"/>
      <w:r/>
      <w:bookmarkStart w:id="183" w:name="_Toc303539128"/>
      <w:r/>
      <w:bookmarkStart w:id="184" w:name="_Toc312678015"/>
      <w:r/>
      <w:bookmarkStart w:id="185" w:name="_Toc304295549"/>
      <w:r>
        <w:rPr>
          <w:rFonts w:ascii="宋体" w:hAnsi="宋体"/>
          <w:color w:val="auto"/>
          <w:sz w:val="21"/>
          <w:szCs w:val="21"/>
          <w:highlight w:val="none"/>
        </w:rPr>
        <w:t xml:space="preserve">.6 不</w:t>
      </w:r>
      <w:bookmarkEnd w:id="180"/>
      <w:r/>
      <w:bookmarkEnd w:id="181"/>
      <w:r/>
      <w:bookmarkEnd w:id="182"/>
      <w:r/>
      <w:bookmarkEnd w:id="183"/>
      <w:r/>
      <w:bookmarkEnd w:id="184"/>
      <w:r/>
      <w:bookmarkEnd w:id="185"/>
      <w:r>
        <w:rPr>
          <w:rFonts w:ascii="宋体" w:hAnsi="宋体"/>
          <w:color w:val="auto"/>
          <w:sz w:val="21"/>
          <w:szCs w:val="21"/>
          <w:highlight w:val="none"/>
        </w:rPr>
        <w:t xml:space="preserve">利物质条件</w:t>
      </w:r>
      <w:r/>
    </w:p>
    <w:p>
      <w:pPr>
        <w:pStyle w:val="1132"/>
        <w:ind w:firstLine="420"/>
        <w:pageBreakBefore w:val="0"/>
        <w:spacing w:line="360" w:lineRule="auto"/>
        <w:rPr>
          <w:rFonts w:ascii="宋体" w:hAnsi="宋体"/>
          <w:color w:val="auto"/>
          <w:sz w:val="21"/>
          <w:szCs w:val="21"/>
          <w:highlight w:val="none"/>
        </w:rPr>
      </w:pPr>
      <w:r/>
      <w:bookmarkStart w:id="186" w:name="_Toc300934972"/>
      <w:r/>
      <w:bookmarkStart w:id="187" w:name="_Toc304295550"/>
      <w:r/>
      <w:bookmarkStart w:id="188" w:name="_Toc297123520"/>
      <w:r/>
      <w:bookmarkStart w:id="189" w:name="_Toc297216179"/>
      <w:r/>
      <w:bookmarkStart w:id="190" w:name="_Toc312678016"/>
      <w:r/>
      <w:bookmarkStart w:id="191" w:name="_Toc303539129"/>
      <w:r/>
      <w:bookmarkStart w:id="192" w:name="_Toc318581172"/>
      <w:r>
        <w:rPr>
          <w:rFonts w:ascii="宋体" w:hAnsi="宋体"/>
          <w:color w:val="auto"/>
          <w:sz w:val="21"/>
          <w:szCs w:val="21"/>
          <w:highlight w:val="none"/>
        </w:rPr>
        <w:t xml:space="preserve">不利物质条件的其他情形和有关约定：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bookmarkEnd w:id="186"/>
      <w:r/>
      <w:bookmarkEnd w:id="187"/>
      <w:r/>
      <w:bookmarkEnd w:id="188"/>
      <w:r/>
      <w:bookmarkEnd w:id="189"/>
      <w:r/>
      <w:bookmarkEnd w:id="190"/>
      <w:r/>
      <w:bookmarkEnd w:id="191"/>
      <w:r/>
      <w:bookmarkEnd w:id="192"/>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bookmarkStart w:id="193" w:name="_Toc297216180"/>
      <w:r/>
      <w:bookmarkStart w:id="194" w:name="_Toc303539130"/>
      <w:r/>
      <w:bookmarkStart w:id="195" w:name="_Toc300934973"/>
      <w:r/>
      <w:bookmarkStart w:id="196" w:name="_Toc312678017"/>
      <w:r/>
      <w:bookmarkStart w:id="197" w:name="_Toc297123521"/>
      <w:r/>
      <w:bookmarkStart w:id="198" w:name="_Toc304295551"/>
      <w:r>
        <w:rPr>
          <w:rFonts w:ascii="宋体" w:hAnsi="宋体"/>
          <w:color w:val="auto"/>
          <w:sz w:val="21"/>
          <w:szCs w:val="21"/>
          <w:highlight w:val="none"/>
        </w:rPr>
        <w:t xml:space="preserve">.7异常恶劣的气候条件</w:t>
      </w:r>
      <w:bookmarkEnd w:id="193"/>
      <w:r/>
      <w:bookmarkEnd w:id="194"/>
      <w:r/>
      <w:bookmarkEnd w:id="195"/>
      <w:r/>
      <w:bookmarkEnd w:id="196"/>
      <w:r/>
      <w:bookmarkEnd w:id="197"/>
      <w:r/>
      <w:bookmarkEnd w:id="198"/>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发包人和承包人同意以下情形视为异常恶劣的气候条件：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地震</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w:t>
      </w:r>
      <w:r>
        <w:rPr>
          <w:rFonts w:ascii="宋体" w:hAnsi="宋体"/>
          <w:color w:val="auto"/>
          <w:sz w:val="21"/>
          <w:szCs w:val="21"/>
          <w:highlight w:val="none"/>
          <w:u w:val="single"/>
        </w:rPr>
        <w:t xml:space="preserve">   </w:t>
      </w:r>
      <w:r>
        <w:rPr>
          <w:rFonts w:hint="eastAsia" w:ascii="宋体" w:hAnsi="宋体"/>
          <w:b/>
          <w:color w:val="auto"/>
          <w:sz w:val="21"/>
          <w:szCs w:val="21"/>
          <w:highlight w:val="none"/>
          <w:u w:val="single"/>
        </w:rPr>
        <w:t xml:space="preserve">水灾</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w:t>
      </w:r>
      <w:r>
        <w:rPr>
          <w:rFonts w:ascii="宋体" w:hAnsi="宋体"/>
          <w:color w:val="auto"/>
          <w:sz w:val="21"/>
          <w:szCs w:val="21"/>
          <w:highlight w:val="none"/>
          <w:u w:val="single"/>
        </w:rPr>
        <w:t xml:space="preserve">   </w:t>
      </w:r>
      <w:r>
        <w:rPr>
          <w:rFonts w:hint="eastAsia" w:ascii="宋体" w:hAnsi="宋体"/>
          <w:b/>
          <w:color w:val="auto"/>
          <w:sz w:val="21"/>
          <w:szCs w:val="21"/>
          <w:highlight w:val="none"/>
          <w:u w:val="single"/>
        </w:rPr>
        <w:t xml:space="preserve">暴风雪</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7.9 提前竣工的奖励</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7.9.2提前竣工的奖励：</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hint="eastAsia" w:ascii="宋体" w:hAnsi="宋体"/>
          <w:color w:val="auto"/>
          <w:sz w:val="21"/>
          <w:szCs w:val="21"/>
          <w:highlight w:val="none"/>
          <w:u w:val="single"/>
        </w:rPr>
        <w:t xml:space="preserve">提前不奖</w:t>
      </w:r>
      <w:r>
        <w:rPr>
          <w:rFonts w:ascii="宋体" w:hAnsi="宋体"/>
          <w:color w:val="auto"/>
          <w:sz w:val="21"/>
          <w:szCs w:val="21"/>
          <w:highlight w:val="none"/>
          <w:u w:val="single"/>
        </w:rPr>
        <w:t xml:space="preserve"> </w:t>
      </w:r>
      <w:r>
        <w:rPr>
          <w:rFonts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b w:val="0"/>
          <w:color w:val="auto"/>
          <w:sz w:val="21"/>
          <w:szCs w:val="21"/>
          <w:highlight w:val="none"/>
        </w:rPr>
      </w:pPr>
      <w:r/>
      <w:bookmarkStart w:id="199" w:name="_Toc351203640"/>
      <w:r>
        <w:rPr>
          <w:rFonts w:ascii="宋体" w:hAnsi="宋体"/>
          <w:b w:val="0"/>
          <w:color w:val="auto"/>
          <w:sz w:val="21"/>
          <w:szCs w:val="21"/>
          <w:highlight w:val="none"/>
        </w:rPr>
        <w:t xml:space="preserve">8. 材料与设备</w:t>
      </w:r>
      <w:bookmarkEnd w:id="134"/>
      <w:r/>
      <w:bookmarkEnd w:id="135"/>
      <w:r/>
      <w:bookmarkEnd w:id="136"/>
      <w:r/>
      <w:bookmarkEnd w:id="137"/>
      <w:r/>
      <w:bookmarkEnd w:id="138"/>
      <w:r/>
      <w:bookmarkEnd w:id="139"/>
      <w:r/>
      <w:bookmarkEnd w:id="140"/>
      <w:r/>
      <w:bookmarkEnd w:id="141"/>
      <w:r/>
      <w:bookmarkEnd w:id="142"/>
      <w:r/>
      <w:bookmarkEnd w:id="143"/>
      <w:r/>
      <w:bookmarkEnd w:id="19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w:t>
      </w:r>
      <w:bookmarkStart w:id="200" w:name="_Toc296503167"/>
      <w:r/>
      <w:bookmarkStart w:id="201" w:name="_Toc296890995"/>
      <w:r/>
      <w:bookmarkStart w:id="202" w:name="_Toc297048353"/>
      <w:r/>
      <w:bookmarkStart w:id="203" w:name="_Toc296346668"/>
      <w:r/>
      <w:bookmarkStart w:id="204" w:name="_Toc297216186"/>
      <w:r/>
      <w:bookmarkStart w:id="205" w:name="_Toc312678019"/>
      <w:r/>
      <w:bookmarkStart w:id="206" w:name="_Toc297123527"/>
      <w:r/>
      <w:bookmarkStart w:id="207" w:name="_Toc300934979"/>
      <w:r/>
      <w:bookmarkStart w:id="208" w:name="_Toc292559372"/>
      <w:r/>
      <w:bookmarkStart w:id="209" w:name="_Toc304295556"/>
      <w:r/>
      <w:bookmarkStart w:id="210" w:name="_Toc303539136"/>
      <w:r/>
      <w:bookmarkStart w:id="211" w:name="_Toc296944506"/>
      <w:r/>
      <w:bookmarkStart w:id="212" w:name="_Toc312677493"/>
      <w:r/>
      <w:bookmarkStart w:id="213" w:name="_Toc280868654"/>
      <w:r/>
      <w:bookmarkStart w:id="214" w:name="_Toc296347166"/>
      <w:r/>
      <w:bookmarkStart w:id="215" w:name="_Toc296891207"/>
      <w:r/>
      <w:bookmarkStart w:id="216" w:name="_Toc292559877"/>
      <w:r/>
      <w:bookmarkStart w:id="217" w:name="_Toc297120467"/>
      <w:r/>
      <w:bookmarkStart w:id="218" w:name="_Toc267251424"/>
      <w:r/>
      <w:bookmarkStart w:id="219" w:name="_Toc280868656"/>
      <w:r/>
      <w:bookmarkStart w:id="220" w:name="_Toc280868655"/>
      <w:r>
        <w:rPr>
          <w:rFonts w:ascii="宋体" w:hAnsi="宋体"/>
          <w:color w:val="auto"/>
          <w:sz w:val="21"/>
          <w:szCs w:val="21"/>
          <w:highlight w:val="none"/>
        </w:rPr>
        <w:t xml:space="preserve">.4材料与工程设备的保管与使用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8</w:t>
      </w:r>
      <w:bookmarkStart w:id="221" w:name="_Toc292559878"/>
      <w:r/>
      <w:bookmarkStart w:id="222" w:name="_Toc292559373"/>
      <w:r/>
      <w:bookmarkStart w:id="223" w:name="_Toc296891208"/>
      <w:r/>
      <w:bookmarkStart w:id="224" w:name="_Toc296890996"/>
      <w:r/>
      <w:bookmarkStart w:id="225" w:name="_Toc304295557"/>
      <w:r/>
      <w:bookmarkStart w:id="226" w:name="_Toc297048354"/>
      <w:r/>
      <w:bookmarkStart w:id="227" w:name="_Toc312678020"/>
      <w:r/>
      <w:bookmarkStart w:id="228" w:name="_Toc312677494"/>
      <w:r/>
      <w:bookmarkStart w:id="229" w:name="_Toc297216187"/>
      <w:r/>
      <w:bookmarkStart w:id="230" w:name="_Toc300934980"/>
      <w:r/>
      <w:bookmarkStart w:id="231" w:name="_Toc296944507"/>
      <w:r/>
      <w:bookmarkStart w:id="232" w:name="_Toc303539137"/>
      <w:r/>
      <w:bookmarkStart w:id="233" w:name="_Toc297123528"/>
      <w:r/>
      <w:bookmarkStart w:id="234" w:name="_Toc296347167"/>
      <w:r/>
      <w:bookmarkStart w:id="235" w:name="_Toc318581173"/>
      <w:r/>
      <w:bookmarkStart w:id="236" w:name="_Toc296346669"/>
      <w:r/>
      <w:bookmarkStart w:id="237" w:name="_Toc297120468"/>
      <w:r/>
      <w:bookmarkStart w:id="238" w:name="_Toc296503168"/>
      <w:r>
        <w:rPr>
          <w:rFonts w:ascii="宋体" w:hAnsi="宋体"/>
          <w:color w:val="auto"/>
          <w:sz w:val="21"/>
          <w:szCs w:val="21"/>
          <w:highlight w:val="none"/>
        </w:rPr>
        <w:t xml:space="preserve">.4.1发包人供应的材料设备的保管费用的承担：</w:t>
      </w:r>
      <w:r>
        <w:rPr>
          <w:rFonts w:ascii="宋体" w:hAnsi="宋体"/>
          <w:color w:val="auto"/>
          <w:sz w:val="21"/>
          <w:szCs w:val="21"/>
          <w:highlight w:val="none"/>
          <w:u w:val="single"/>
        </w:rPr>
        <w:t xml:space="preserve"> / </w:t>
      </w:r>
      <w:bookmarkEnd w:id="221"/>
      <w:r/>
      <w:bookmarkEnd w:id="222"/>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8.6 样品</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8.6.1样品的报送</w:t>
      </w:r>
      <w:r>
        <w:rPr>
          <w:rFonts w:hint="eastAsia" w:ascii="宋体" w:hAnsi="宋体"/>
          <w:color w:val="auto"/>
          <w:sz w:val="21"/>
          <w:szCs w:val="21"/>
          <w:highlight w:val="none"/>
        </w:rPr>
        <w:t xml:space="preserve">与封存</w:t>
      </w:r>
      <w:r/>
    </w:p>
    <w:p>
      <w:pPr>
        <w:pStyle w:val="1154"/>
        <w:ind w:firstLine="56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需要承包人报送样品的材料或工程设备，样品的种类、名称、规格、数量要求：</w:t>
      </w:r>
      <w:r>
        <w:rPr>
          <w:rFonts w:hint="eastAsia" w:ascii="宋体" w:hAnsi="宋体"/>
          <w:color w:val="auto"/>
          <w:sz w:val="21"/>
          <w:szCs w:val="21"/>
          <w:highlight w:val="none"/>
          <w:u w:val="single"/>
        </w:rPr>
        <w:t xml:space="preserve">按通用条款执行。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8.8 施工设备和临时设施</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8.8.1 承包人提供的施工设备和临时设施</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关于修建临时设施费用承担的约定：</w:t>
      </w:r>
      <w:r>
        <w:rPr>
          <w:rFonts w:hint="eastAsia" w:ascii="宋体" w:hAnsi="宋体"/>
          <w:color w:val="auto"/>
          <w:sz w:val="21"/>
          <w:szCs w:val="21"/>
          <w:highlight w:val="none"/>
          <w:u w:val="single"/>
        </w:rPr>
        <w:t xml:space="preserve">承包人承担</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pStyle w:val="1163"/>
        <w:pageBreakBefore w:val="0"/>
        <w:spacing w:before="0" w:after="0" w:line="360" w:lineRule="auto"/>
        <w:rPr>
          <w:rFonts w:ascii="宋体" w:hAnsi="宋体"/>
          <w:b w:val="0"/>
          <w:color w:val="auto"/>
          <w:sz w:val="21"/>
          <w:szCs w:val="21"/>
          <w:highlight w:val="none"/>
        </w:rPr>
      </w:pPr>
      <w:r/>
      <w:bookmarkStart w:id="239" w:name="_Toc351203641"/>
      <w:r>
        <w:rPr>
          <w:rFonts w:ascii="宋体" w:hAnsi="宋体"/>
          <w:b w:val="0"/>
          <w:color w:val="auto"/>
          <w:sz w:val="21"/>
          <w:szCs w:val="21"/>
          <w:highlight w:val="none"/>
        </w:rPr>
        <w:t xml:space="preserve">9</w:t>
      </w:r>
      <w:bookmarkEnd w:id="218"/>
      <w:r/>
      <w:bookmarkEnd w:id="219"/>
      <w:r/>
      <w:bookmarkEnd w:id="220"/>
      <w:r/>
      <w:bookmarkStart w:id="240" w:name="_Toc312678021"/>
      <w:r/>
      <w:bookmarkStart w:id="241" w:name="_Toc304295559"/>
      <w:r/>
      <w:bookmarkStart w:id="242" w:name="_Toc303539139"/>
      <w:r/>
      <w:bookmarkStart w:id="243" w:name="_Toc297123533"/>
      <w:r/>
      <w:bookmarkStart w:id="244" w:name="_Toc312677495"/>
      <w:r/>
      <w:bookmarkStart w:id="245" w:name="_Toc297216192"/>
      <w:r/>
      <w:bookmarkStart w:id="246" w:name="_Toc300934982"/>
      <w:r/>
      <w:bookmarkStart w:id="247" w:name="_Toc267251427"/>
      <w:r/>
      <w:bookmarkStart w:id="248" w:name="_Toc292559883"/>
      <w:r/>
      <w:bookmarkStart w:id="249" w:name="_Toc297048359"/>
      <w:r/>
      <w:bookmarkStart w:id="250" w:name="_Toc296346674"/>
      <w:r/>
      <w:bookmarkStart w:id="251" w:name="_Toc292559378"/>
      <w:r/>
      <w:bookmarkStart w:id="252" w:name="_Toc297120473"/>
      <w:r/>
      <w:bookmarkStart w:id="253" w:name="_Toc296944512"/>
      <w:r/>
      <w:bookmarkStart w:id="254" w:name="_Toc267251428"/>
      <w:r/>
      <w:bookmarkStart w:id="255" w:name="_Toc296891213"/>
      <w:r/>
      <w:bookmarkStart w:id="256" w:name="_Toc296503173"/>
      <w:r/>
      <w:bookmarkStart w:id="257" w:name="_Toc296347172"/>
      <w:r/>
      <w:bookmarkStart w:id="258" w:name="_Toc296891001"/>
      <w:r>
        <w:rPr>
          <w:rFonts w:ascii="宋体" w:hAnsi="宋体"/>
          <w:b w:val="0"/>
          <w:color w:val="auto"/>
          <w:sz w:val="21"/>
          <w:szCs w:val="21"/>
          <w:highlight w:val="none"/>
        </w:rPr>
        <w:t xml:space="preserve">. 试验与检验</w:t>
      </w:r>
      <w:bookmarkEnd w:id="239"/>
      <w:r/>
      <w:bookmarkEnd w:id="240"/>
      <w:r/>
      <w:bookmarkEnd w:id="241"/>
      <w:r/>
      <w:bookmarkEnd w:id="242"/>
      <w:r/>
      <w:bookmarkEnd w:id="243"/>
      <w:r/>
      <w:bookmarkEnd w:id="244"/>
      <w:r/>
      <w:bookmarkEnd w:id="245"/>
      <w:r/>
      <w:bookmarkEnd w:id="24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9</w:t>
      </w:r>
      <w:bookmarkStart w:id="259" w:name="_Toc304295560"/>
      <w:r/>
      <w:bookmarkStart w:id="260" w:name="_Toc297216193"/>
      <w:r/>
      <w:bookmarkStart w:id="261" w:name="_Toc297123534"/>
      <w:r/>
      <w:bookmarkStart w:id="262" w:name="_Toc312678022"/>
      <w:r/>
      <w:bookmarkStart w:id="263" w:name="_Toc312677496"/>
      <w:r/>
      <w:bookmarkStart w:id="264" w:name="_Toc300934983"/>
      <w:r/>
      <w:bookmarkStart w:id="265" w:name="_Toc303539140"/>
      <w:r>
        <w:rPr>
          <w:rFonts w:ascii="宋体" w:hAnsi="宋体"/>
          <w:color w:val="auto"/>
          <w:sz w:val="21"/>
          <w:szCs w:val="21"/>
          <w:highlight w:val="none"/>
        </w:rPr>
        <w:t xml:space="preserve">.1试验设备与试验人员</w:t>
      </w:r>
      <w:bookmarkEnd w:id="259"/>
      <w:r/>
      <w:bookmarkEnd w:id="260"/>
      <w:r/>
      <w:bookmarkEnd w:id="261"/>
      <w:r/>
      <w:bookmarkEnd w:id="262"/>
      <w:r/>
      <w:bookmarkEnd w:id="263"/>
      <w:r/>
      <w:bookmarkEnd w:id="264"/>
      <w:r/>
      <w:bookmarkEnd w:id="265"/>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9</w:t>
      </w:r>
      <w:bookmarkStart w:id="266" w:name="_Toc304295561"/>
      <w:r/>
      <w:bookmarkStart w:id="267" w:name="_Toc297216194"/>
      <w:r/>
      <w:bookmarkStart w:id="268" w:name="_Toc312677497"/>
      <w:r/>
      <w:bookmarkStart w:id="269" w:name="_Toc303539141"/>
      <w:r/>
      <w:bookmarkStart w:id="270" w:name="_Toc297123535"/>
      <w:r/>
      <w:bookmarkStart w:id="271" w:name="_Toc312678023"/>
      <w:r/>
      <w:bookmarkStart w:id="272" w:name="_Toc300934984"/>
      <w:r/>
      <w:bookmarkStart w:id="273" w:name="_Toc318581174"/>
      <w:r>
        <w:rPr>
          <w:rFonts w:ascii="宋体" w:hAnsi="宋体"/>
          <w:color w:val="auto"/>
          <w:sz w:val="21"/>
          <w:szCs w:val="21"/>
          <w:highlight w:val="none"/>
        </w:rPr>
        <w:t xml:space="preserve">.1.2 试验设备</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施工现场需要配置的试验场所：</w:t>
      </w:r>
      <w:bookmarkEnd w:id="266"/>
      <w:r/>
      <w:bookmarkEnd w:id="267"/>
      <w:r/>
      <w:bookmarkEnd w:id="268"/>
      <w:r/>
      <w:bookmarkEnd w:id="269"/>
      <w:r/>
      <w:bookmarkEnd w:id="270"/>
      <w:r/>
      <w:bookmarkEnd w:id="271"/>
      <w:r/>
      <w:bookmarkEnd w:id="272"/>
      <w:r/>
      <w:bookmarkStart w:id="274" w:name="_Toc297123536"/>
      <w:r/>
      <w:bookmarkStart w:id="275" w:name="_Toc300934985"/>
      <w:r/>
      <w:bookmarkStart w:id="276" w:name="_Toc303539142"/>
      <w:r/>
      <w:bookmarkStart w:id="277" w:name="_Toc304295562"/>
      <w:r/>
      <w:bookmarkStart w:id="278" w:name="_Toc312678024"/>
      <w:r/>
      <w:bookmarkStart w:id="279" w:name="_Toc297216195"/>
      <w:r/>
      <w:bookmarkStart w:id="280" w:name="_Toc312677498"/>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承包人自备</w:t>
      </w:r>
      <w:r>
        <w:rPr>
          <w:rFonts w:hint="eastAsia" w:ascii="宋体" w:hAnsi="宋体"/>
          <w:b/>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rPr>
          <w:rFonts w:hint="eastAsia"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施工现场需要配备的试验设备：</w:t>
      </w:r>
      <w:r>
        <w:rPr>
          <w:rFonts w:hint="eastAsia" w:ascii="宋体" w:hAnsi="宋体"/>
          <w:color w:val="auto"/>
          <w:sz w:val="21"/>
          <w:szCs w:val="21"/>
          <w:highlight w:val="none"/>
          <w:u w:val="single"/>
        </w:rPr>
        <w:t xml:space="preserve">承包人提供</w:t>
      </w:r>
      <w:r>
        <w:rPr>
          <w:rFonts w:hint="eastAsia" w:ascii="宋体" w:hAnsi="宋体"/>
          <w:b/>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施工现场需要具备的其他试验条件：</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hint="eastAsia" w:ascii="宋体" w:hAnsi="宋体"/>
          <w:b/>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9.4 现场工艺试验</w:t>
      </w:r>
      <w:r>
        <w:rPr>
          <w:rFonts w:hint="eastAsia" w:ascii="宋体" w:hAnsi="宋体"/>
          <w:color w:val="auto"/>
          <w:sz w:val="21"/>
          <w:szCs w:val="21"/>
          <w:highlight w:val="none"/>
        </w:rPr>
        <w:t xml:space="preserve"> </w:t>
      </w:r>
      <w:r/>
    </w:p>
    <w:p>
      <w:pPr>
        <w:pStyle w:val="1132"/>
        <w:ind w:firstLine="420"/>
        <w:pageBreakBefore w:val="0"/>
        <w:spacing w:line="360" w:lineRule="auto"/>
        <w:rPr>
          <w:rFonts w:ascii="宋体" w:hAnsi="宋体"/>
          <w:b/>
          <w:color w:val="auto"/>
          <w:sz w:val="21"/>
          <w:szCs w:val="21"/>
          <w:highlight w:val="none"/>
          <w:u w:val="single"/>
        </w:rPr>
      </w:pPr>
      <w:r>
        <w:rPr>
          <w:rFonts w:ascii="宋体" w:hAnsi="宋体"/>
          <w:color w:val="auto"/>
          <w:sz w:val="21"/>
          <w:szCs w:val="21"/>
          <w:highlight w:val="none"/>
        </w:rPr>
        <w:t xml:space="preserve">现场工艺试验的有关约定：</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73"/>
      <w:r/>
      <w:bookmarkEnd w:id="274"/>
      <w:r/>
      <w:bookmarkEnd w:id="275"/>
      <w:r/>
      <w:bookmarkEnd w:id="276"/>
      <w:r/>
      <w:bookmarkEnd w:id="277"/>
      <w:r/>
      <w:bookmarkEnd w:id="278"/>
      <w:r/>
      <w:bookmarkEnd w:id="279"/>
      <w:r/>
      <w:bookmarkEnd w:id="280"/>
      <w:r/>
      <w:r/>
    </w:p>
    <w:p>
      <w:pPr>
        <w:pStyle w:val="1132"/>
        <w:pageBreakBefore w:val="0"/>
        <w:spacing w:line="360" w:lineRule="auto"/>
        <w:rPr>
          <w:rFonts w:ascii="宋体" w:hAnsi="宋体"/>
          <w:color w:val="auto"/>
          <w:sz w:val="21"/>
          <w:szCs w:val="21"/>
          <w:highlight w:val="none"/>
        </w:rPr>
      </w:pPr>
      <w:r/>
      <w:bookmarkStart w:id="281" w:name="_Toc267251433"/>
      <w:r/>
      <w:bookmarkStart w:id="282" w:name="_Toc267251440"/>
      <w:r/>
      <w:bookmarkStart w:id="283" w:name="_Toc267251437"/>
      <w:r/>
      <w:bookmarkStart w:id="284" w:name="_Toc267251442"/>
      <w:r/>
      <w:bookmarkStart w:id="285" w:name="_Toc267251439"/>
      <w:r/>
      <w:bookmarkStart w:id="286" w:name="_Toc267251435"/>
      <w:r/>
      <w:bookmarkStart w:id="287" w:name="_Toc267251441"/>
      <w:r>
        <w:rPr>
          <w:rFonts w:ascii="宋体" w:hAnsi="宋体"/>
          <w:color w:val="auto"/>
          <w:sz w:val="21"/>
          <w:szCs w:val="21"/>
          <w:highlight w:val="none"/>
        </w:rPr>
        <w:t xml:space="preserve">10</w:t>
      </w:r>
      <w:r>
        <w:rPr>
          <w:rFonts w:hint="eastAsia" w:ascii="宋体" w:hAnsi="宋体"/>
          <w:color w:val="auto"/>
          <w:sz w:val="21"/>
          <w:szCs w:val="21"/>
          <w:highlight w:val="none"/>
        </w:rPr>
        <w:t xml:space="preserve">.</w:t>
      </w:r>
      <w:r>
        <w:rPr>
          <w:rFonts w:ascii="宋体" w:hAnsi="宋体"/>
          <w:color w:val="auto"/>
          <w:sz w:val="21"/>
          <w:szCs w:val="21"/>
          <w:highlight w:val="none"/>
        </w:rPr>
        <w:t xml:space="preserve"> 变更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10.1 </w:t>
      </w:r>
      <w:r>
        <w:rPr>
          <w:rFonts w:hint="eastAsia" w:ascii="宋体" w:hAnsi="宋体"/>
          <w:color w:val="auto"/>
          <w:sz w:val="21"/>
          <w:szCs w:val="21"/>
          <w:highlight w:val="none"/>
        </w:rPr>
        <w:t xml:space="preserve">变更的范围 </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关于变更的范围的约定：</w:t>
      </w:r>
      <w:r>
        <w:rPr>
          <w:rFonts w:hint="eastAsia" w:ascii="宋体" w:hAnsi="宋体"/>
          <w:color w:val="auto"/>
          <w:sz w:val="21"/>
          <w:szCs w:val="21"/>
          <w:highlight w:val="none"/>
          <w:u w:val="single"/>
        </w:rPr>
        <w:t xml:space="preserve">按通用条款执行</w:t>
      </w:r>
      <w:r>
        <w:rPr>
          <w:rFonts w:hint="eastAsia"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10.4 </w:t>
      </w:r>
      <w:r>
        <w:rPr>
          <w:rFonts w:hint="eastAsia" w:ascii="宋体" w:hAnsi="宋体"/>
          <w:color w:val="auto"/>
          <w:sz w:val="21"/>
          <w:szCs w:val="21"/>
          <w:highlight w:val="none"/>
        </w:rPr>
        <w:t xml:space="preserve">变更估价原则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）已标价工程量清单中有适用于变更工程项目的，应采用该项目的单价。</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由设计变更和招标人要求变动的内容引起的新的工程量清单项目，其对应的综合单价按下列方法确定：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①</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投标文件中已有适用的综合单价，按投标文件中已有的综合单价确定；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②</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投标文件中有类似的综合单价，参照类似的综合单价确定；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③</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投标文件中没有适用或类似的综合单价，由承包人提出综合单价，经发包人确认，审计单位审核后，按投标文件中的让利幅度同比率进行下浮结算。</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bookmarkStart w:id="288" w:name="_Toc297120497"/>
      <w:r/>
      <w:bookmarkStart w:id="289" w:name="_Toc296503197"/>
      <w:r/>
      <w:bookmarkStart w:id="290" w:name="_Toc296891025"/>
      <w:r/>
      <w:bookmarkStart w:id="291" w:name="_Toc292559402"/>
      <w:r/>
      <w:bookmarkStart w:id="292" w:name="_Toc296347196"/>
      <w:r/>
      <w:bookmarkStart w:id="293" w:name="_Toc292559907"/>
      <w:r/>
      <w:bookmarkStart w:id="294" w:name="_Toc296891237"/>
      <w:r/>
      <w:bookmarkStart w:id="295" w:name="_Toc297123544"/>
      <w:r/>
      <w:bookmarkStart w:id="296" w:name="_Toc296346698"/>
      <w:r/>
      <w:bookmarkStart w:id="297" w:name="_Toc297216203"/>
      <w:r/>
      <w:bookmarkStart w:id="298" w:name="_Toc296944536"/>
      <w:r/>
      <w:bookmarkStart w:id="299" w:name="_Toc300934993"/>
      <w:r/>
      <w:bookmarkStart w:id="300" w:name="_Toc303539150"/>
      <w:r/>
      <w:bookmarkStart w:id="301" w:name="_Toc297048383"/>
      <w:r/>
      <w:bookmarkStart w:id="302" w:name="_Toc304295570"/>
      <w:r/>
      <w:bookmarkStart w:id="303" w:name="_Toc312677503"/>
      <w:r/>
      <w:bookmarkStart w:id="304" w:name="_Toc312678029"/>
      <w:r>
        <w:rPr>
          <w:rFonts w:ascii="宋体" w:hAnsi="宋体"/>
          <w:color w:val="auto"/>
          <w:sz w:val="21"/>
          <w:szCs w:val="21"/>
          <w:highlight w:val="none"/>
        </w:rPr>
        <w:t xml:space="preserve">0.5承</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05" w:name="_Toc300934994"/>
      <w:r/>
      <w:bookmarkStart w:id="306" w:name="_Toc297048389"/>
      <w:r/>
      <w:bookmarkStart w:id="307" w:name="_Toc296346704"/>
      <w:r/>
      <w:bookmarkStart w:id="308" w:name="_Toc296944542"/>
      <w:r/>
      <w:bookmarkStart w:id="309" w:name="_Toc292559913"/>
      <w:r/>
      <w:bookmarkStart w:id="310" w:name="_Toc303539151"/>
      <w:r/>
      <w:bookmarkStart w:id="311" w:name="_Toc297123545"/>
      <w:r/>
      <w:bookmarkStart w:id="312" w:name="_Toc296891243"/>
      <w:r/>
      <w:bookmarkStart w:id="313" w:name="_Toc292559408"/>
      <w:r/>
      <w:bookmarkStart w:id="314" w:name="_Toc296347202"/>
      <w:r/>
      <w:bookmarkStart w:id="315" w:name="_Toc296891031"/>
      <w:r/>
      <w:bookmarkStart w:id="316" w:name="_Toc296503203"/>
      <w:r/>
      <w:bookmarkStart w:id="317" w:name="_Toc297216204"/>
      <w:r/>
      <w:bookmarkStart w:id="318" w:name="_Toc297120503"/>
      <w:r>
        <w:rPr>
          <w:rFonts w:ascii="宋体" w:hAnsi="宋体"/>
          <w:color w:val="auto"/>
          <w:sz w:val="21"/>
          <w:szCs w:val="21"/>
          <w:highlight w:val="none"/>
        </w:rPr>
        <w:t xml:space="preserve">包人的合理化建议</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监理人审查承包人合理化建议的期限：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发包人审批承包人合理化建议的期限：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承</w:t>
      </w:r>
      <w:bookmarkStart w:id="319" w:name="_Toc296346705"/>
      <w:r/>
      <w:bookmarkStart w:id="320" w:name="_Toc303539152"/>
      <w:r/>
      <w:bookmarkStart w:id="321" w:name="_Toc292559914"/>
      <w:r/>
      <w:bookmarkStart w:id="322" w:name="_Toc296944543"/>
      <w:r/>
      <w:bookmarkStart w:id="323" w:name="_Toc297216205"/>
      <w:r/>
      <w:bookmarkStart w:id="324" w:name="_Toc318581175"/>
      <w:r/>
      <w:bookmarkStart w:id="325" w:name="_Toc300934995"/>
      <w:r/>
      <w:bookmarkStart w:id="326" w:name="_Toc292559409"/>
      <w:r/>
      <w:bookmarkStart w:id="327" w:name="_Toc296503204"/>
      <w:r/>
      <w:bookmarkStart w:id="328" w:name="_Toc296347203"/>
      <w:r/>
      <w:bookmarkStart w:id="329" w:name="_Toc296891032"/>
      <w:r/>
      <w:bookmarkStart w:id="330" w:name="_Toc312678030"/>
      <w:r/>
      <w:bookmarkStart w:id="331" w:name="_Toc296891244"/>
      <w:r/>
      <w:bookmarkStart w:id="332" w:name="_Toc304295571"/>
      <w:r/>
      <w:bookmarkStart w:id="333" w:name="_Toc312677504"/>
      <w:r/>
      <w:bookmarkStart w:id="334" w:name="_Toc297120504"/>
      <w:r/>
      <w:bookmarkStart w:id="335" w:name="_Toc297048390"/>
      <w:r/>
      <w:bookmarkStart w:id="336" w:name="_Toc297123546"/>
      <w:r>
        <w:rPr>
          <w:rFonts w:ascii="宋体" w:hAnsi="宋体"/>
          <w:color w:val="auto"/>
          <w:sz w:val="21"/>
          <w:szCs w:val="21"/>
          <w:highlight w:val="none"/>
        </w:rPr>
        <w:t xml:space="preserve">包人提出的合理化建议降低了合同价格或者提高了工程经济效益的奖励的方法和金额为：</w:t>
      </w:r>
      <w:r>
        <w:rPr>
          <w:rFonts w:hint="eastAsia" w:ascii="宋体" w:hAnsi="宋体"/>
          <w:color w:val="auto"/>
          <w:sz w:val="21"/>
          <w:szCs w:val="21"/>
          <w:highlight w:val="none"/>
          <w:u w:val="single"/>
        </w:rPr>
        <w:t xml:space="preserve">双方另行协商确定</w:t>
      </w:r>
      <w:r>
        <w:rPr>
          <w:rFonts w:ascii="宋体" w:hAnsi="宋体"/>
          <w:color w:val="auto"/>
          <w:sz w:val="21"/>
          <w:szCs w:val="21"/>
          <w:highlight w:val="none"/>
        </w:rPr>
        <w:t xml:space="preserve">。</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bookmarkStart w:id="337" w:name="_Toc296891027"/>
      <w:r/>
      <w:bookmarkStart w:id="338" w:name="_Toc296503199"/>
      <w:r/>
      <w:bookmarkStart w:id="339" w:name="_Toc296346700"/>
      <w:r/>
      <w:bookmarkStart w:id="340" w:name="_Toc300934997"/>
      <w:r/>
      <w:bookmarkStart w:id="341" w:name="_Toc297216207"/>
      <w:r/>
      <w:bookmarkStart w:id="342" w:name="_Toc296891239"/>
      <w:r/>
      <w:bookmarkStart w:id="343" w:name="_Toc303539154"/>
      <w:r/>
      <w:bookmarkStart w:id="344" w:name="_Toc297048385"/>
      <w:r/>
      <w:bookmarkStart w:id="345" w:name="_Toc296944538"/>
      <w:r/>
      <w:bookmarkStart w:id="346" w:name="_Toc304295574"/>
      <w:r/>
      <w:bookmarkStart w:id="347" w:name="_Toc312678033"/>
      <w:r/>
      <w:bookmarkStart w:id="348" w:name="_Toc292559909"/>
      <w:r/>
      <w:bookmarkStart w:id="349" w:name="_Toc292559404"/>
      <w:r/>
      <w:bookmarkStart w:id="350" w:name="_Toc297123548"/>
      <w:r/>
      <w:bookmarkStart w:id="351" w:name="_Toc297120499"/>
      <w:r/>
      <w:bookmarkStart w:id="352" w:name="_Toc296347198"/>
      <w:r/>
      <w:bookmarkStart w:id="353" w:name="_Toc312677507"/>
      <w:r>
        <w:rPr>
          <w:rFonts w:ascii="宋体" w:hAnsi="宋体"/>
          <w:color w:val="auto"/>
          <w:sz w:val="21"/>
          <w:szCs w:val="21"/>
          <w:highlight w:val="none"/>
        </w:rPr>
        <w:t xml:space="preserve">0.7 暂估价</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暂</w:t>
      </w:r>
      <w:bookmarkStart w:id="354" w:name="_Toc312677508"/>
      <w:r/>
      <w:bookmarkStart w:id="355" w:name="_Toc312678034"/>
      <w:r/>
      <w:bookmarkStart w:id="356" w:name="_Toc318581176"/>
      <w:r>
        <w:rPr>
          <w:rFonts w:ascii="宋体" w:hAnsi="宋体"/>
          <w:color w:val="auto"/>
          <w:sz w:val="21"/>
          <w:szCs w:val="21"/>
          <w:highlight w:val="none"/>
        </w:rPr>
        <w:t xml:space="preserve">估价材料和工程设备的明细详见附件</w:t>
      </w:r>
      <w:r>
        <w:rPr>
          <w:rFonts w:hint="eastAsia" w:ascii="宋体" w:hAnsi="宋体"/>
          <w:color w:val="auto"/>
          <w:sz w:val="21"/>
          <w:szCs w:val="21"/>
          <w:highlight w:val="none"/>
        </w:rPr>
        <w:t xml:space="preserve">11：《</w:t>
      </w:r>
      <w:r>
        <w:rPr>
          <w:rFonts w:ascii="宋体" w:hAnsi="宋体"/>
          <w:color w:val="auto"/>
          <w:sz w:val="21"/>
          <w:szCs w:val="21"/>
          <w:highlight w:val="none"/>
        </w:rPr>
        <w:t xml:space="preserve">暂估价一览表</w:t>
      </w:r>
      <w:r>
        <w:rPr>
          <w:rFonts w:hint="eastAsia" w:ascii="宋体" w:hAnsi="宋体"/>
          <w:color w:val="auto"/>
          <w:sz w:val="21"/>
          <w:szCs w:val="21"/>
          <w:highlight w:val="none"/>
        </w:rPr>
        <w:t xml:space="preserve">》。</w:t>
      </w:r>
      <w:bookmarkEnd w:id="354"/>
      <w:r/>
      <w:bookmarkEnd w:id="355"/>
      <w:r/>
      <w:bookmarkEnd w:id="35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bookmarkStart w:id="357" w:name="_Toc318581177"/>
      <w:r/>
      <w:bookmarkStart w:id="358" w:name="_Toc312677509"/>
      <w:r/>
      <w:bookmarkStart w:id="359" w:name="_Toc312678035"/>
      <w:r>
        <w:rPr>
          <w:rFonts w:ascii="宋体" w:hAnsi="宋体"/>
          <w:color w:val="auto"/>
          <w:sz w:val="21"/>
          <w:szCs w:val="21"/>
          <w:highlight w:val="none"/>
        </w:rPr>
        <w:t xml:space="preserve">0.7.1 依法必须招标的暂估价项目</w:t>
      </w:r>
      <w:bookmarkEnd w:id="357"/>
      <w:r/>
      <w:bookmarkEnd w:id="358"/>
      <w:r/>
      <w:bookmarkEnd w:id="35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对于依法必须招标的暂估价项目的确认和批准采取</w:t>
      </w:r>
      <w:r>
        <w:rPr>
          <w:rFonts w:hint="eastAsia" w:ascii="宋体" w:hAnsi="宋体"/>
          <w:color w:val="auto"/>
          <w:sz w:val="21"/>
          <w:szCs w:val="21"/>
          <w:highlight w:val="none"/>
        </w:rPr>
        <w:t xml:space="preserve">通用条款</w:t>
      </w:r>
      <w:r>
        <w:rPr>
          <w:rFonts w:ascii="宋体" w:hAnsi="宋体"/>
          <w:color w:val="auto"/>
          <w:sz w:val="21"/>
          <w:szCs w:val="21"/>
          <w:highlight w:val="none"/>
        </w:rPr>
        <w:t xml:space="preserve">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种方式确定。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10.7.2 不属于依法必须招标的暂估价项目</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对于不属于依法必须招标的暂估价项目的确认和批准采取</w:t>
      </w:r>
      <w:r>
        <w:rPr>
          <w:rFonts w:hint="eastAsia" w:ascii="宋体" w:hAnsi="宋体"/>
          <w:color w:val="auto"/>
          <w:sz w:val="21"/>
          <w:szCs w:val="21"/>
          <w:highlight w:val="none"/>
        </w:rPr>
        <w:t xml:space="preserve">通用条款</w:t>
      </w:r>
      <w:r>
        <w:rPr>
          <w:rFonts w:ascii="宋体" w:hAnsi="宋体"/>
          <w:color w:val="auto"/>
          <w:sz w:val="21"/>
          <w:szCs w:val="21"/>
          <w:highlight w:val="none"/>
        </w:rPr>
        <w:t xml:space="preserve">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1</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种方式确定。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10.8 暂列金额</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合同当事人关于暂列金额使用的约定：</w:t>
      </w:r>
      <w:r>
        <w:rPr>
          <w:rFonts w:hint="eastAsia" w:ascii="宋体" w:hAnsi="宋体"/>
          <w:color w:val="auto"/>
          <w:sz w:val="21"/>
          <w:szCs w:val="21"/>
          <w:highlight w:val="none"/>
          <w:u w:val="single"/>
        </w:rPr>
        <w:t xml:space="preserve">按通用条款执行</w:t>
      </w:r>
      <w:bookmarkEnd w:id="281"/>
      <w:r/>
      <w:bookmarkEnd w:id="282"/>
      <w:r/>
      <w:bookmarkEnd w:id="283"/>
      <w:r/>
      <w:bookmarkEnd w:id="284"/>
      <w:r/>
      <w:bookmarkEnd w:id="285"/>
      <w:r/>
      <w:bookmarkEnd w:id="286"/>
      <w:r/>
      <w:bookmarkEnd w:id="287"/>
      <w:r/>
      <w:r/>
    </w:p>
    <w:p>
      <w:pPr>
        <w:pStyle w:val="1163"/>
        <w:pageBreakBefore w:val="0"/>
        <w:spacing w:before="0" w:after="0" w:line="360" w:lineRule="auto"/>
        <w:rPr>
          <w:rFonts w:ascii="宋体" w:hAnsi="宋体"/>
          <w:b w:val="0"/>
          <w:color w:val="auto"/>
          <w:sz w:val="21"/>
          <w:szCs w:val="21"/>
          <w:highlight w:val="none"/>
        </w:rPr>
      </w:pPr>
      <w:r/>
      <w:bookmarkStart w:id="360" w:name="_Toc404776722"/>
      <w:r/>
      <w:bookmarkStart w:id="361" w:name="_Toc351203652"/>
      <w:r>
        <w:rPr>
          <w:rFonts w:ascii="宋体" w:hAnsi="宋体"/>
          <w:b w:val="0"/>
          <w:color w:val="auto"/>
          <w:sz w:val="21"/>
          <w:szCs w:val="21"/>
          <w:highlight w:val="none"/>
        </w:rPr>
        <w:t xml:space="preserve">11. 价格调整</w:t>
      </w:r>
      <w:bookmarkEnd w:id="360"/>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11.1 市场价格波动引起的调整</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市场价格波动是否调整合同价格的约定：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是</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因市场价格波动调整合同价格，采用以下第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（3）</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种方式对合同价格进行调整：</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第1种方式：采用价格指数</w:t>
      </w:r>
      <w:r>
        <w:rPr>
          <w:rFonts w:hint="eastAsia" w:ascii="宋体" w:hAnsi="宋体"/>
          <w:color w:val="auto"/>
          <w:sz w:val="21"/>
          <w:szCs w:val="21"/>
          <w:highlight w:val="none"/>
        </w:rPr>
        <w:t xml:space="preserve">进行价格</w:t>
      </w:r>
      <w:r>
        <w:rPr>
          <w:rFonts w:ascii="宋体" w:hAnsi="宋体"/>
          <w:color w:val="auto"/>
          <w:sz w:val="21"/>
          <w:szCs w:val="21"/>
          <w:highlight w:val="none"/>
        </w:rPr>
        <w:t xml:space="preserve">调整。</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关于各可调因子、定值和变值权重，以及基本价格指数及其来源的约定：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第2种方式：采用造价信息</w:t>
      </w:r>
      <w:r>
        <w:rPr>
          <w:rFonts w:hint="eastAsia" w:ascii="宋体" w:hAnsi="宋体"/>
          <w:color w:val="auto"/>
          <w:sz w:val="21"/>
          <w:szCs w:val="21"/>
          <w:highlight w:val="none"/>
        </w:rPr>
        <w:t xml:space="preserve">进行价格</w:t>
      </w:r>
      <w:r>
        <w:rPr>
          <w:rFonts w:ascii="宋体" w:hAnsi="宋体"/>
          <w:color w:val="auto"/>
          <w:sz w:val="21"/>
          <w:szCs w:val="21"/>
          <w:highlight w:val="none"/>
        </w:rPr>
        <w:t xml:space="preserve">调整。</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（2）关于基准价格的约定：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专用合同条款</w:t>
      </w:r>
      <w:r>
        <w:rPr>
          <w:rFonts w:hint="eastAsia" w:ascii="宋体" w:hAnsi="宋体" w:cs="宋体"/>
          <w:color w:val="auto"/>
          <w:sz w:val="21"/>
          <w:szCs w:val="21"/>
          <w:highlight w:val="none"/>
        </w:rPr>
        <w:t xml:space="preserve">①</w:t>
      </w:r>
      <w:r>
        <w:rPr>
          <w:rFonts w:ascii="宋体" w:hAnsi="宋体"/>
          <w:color w:val="auto"/>
          <w:sz w:val="21"/>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%时，或材料单价跌幅以已标价工程量清单或预算书中载明材料单价为基础超过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132"/>
        <w:ind w:firstLine="42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②</w:t>
      </w:r>
      <w:r>
        <w:rPr>
          <w:rFonts w:ascii="宋体" w:hAnsi="宋体"/>
          <w:color w:val="auto"/>
          <w:sz w:val="21"/>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%时，材料单价涨幅以已标价工程量清单或预算书中载明材料单价为基础超过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132"/>
        <w:ind w:firstLine="645"/>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③</w:t>
      </w:r>
      <w:r>
        <w:rPr>
          <w:rFonts w:ascii="宋体" w:hAnsi="宋体"/>
          <w:color w:val="auto"/>
          <w:sz w:val="21"/>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%时，其超过部分据实调整。</w:t>
      </w:r>
      <w:r/>
    </w:p>
    <w:p>
      <w:pPr>
        <w:pStyle w:val="1132"/>
        <w:ind w:firstLine="645"/>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第3种方式：其他价格调整方式：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按苏建价[2008]67号文执行。</w:t>
      </w:r>
      <w:r/>
    </w:p>
    <w:p>
      <w:pPr>
        <w:pStyle w:val="1163"/>
        <w:pageBreakBefore w:val="0"/>
        <w:spacing w:before="0" w:after="0" w:line="360" w:lineRule="auto"/>
        <w:rPr>
          <w:rFonts w:ascii="宋体" w:hAnsi="宋体"/>
          <w:b w:val="0"/>
          <w:color w:val="auto"/>
          <w:sz w:val="21"/>
          <w:szCs w:val="21"/>
          <w:highlight w:val="none"/>
        </w:rPr>
      </w:pPr>
      <w:r/>
      <w:bookmarkStart w:id="362" w:name="_Toc404776723"/>
      <w:r>
        <w:rPr>
          <w:rFonts w:ascii="宋体" w:hAnsi="宋体"/>
          <w:b w:val="0"/>
          <w:color w:val="auto"/>
          <w:sz w:val="21"/>
          <w:szCs w:val="21"/>
          <w:highlight w:val="none"/>
        </w:rPr>
        <w:t xml:space="preserve">12. 合同价格、计量与支付</w:t>
      </w:r>
      <w:bookmarkEnd w:id="362"/>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12.1 合同价格形式</w:t>
      </w:r>
      <w:r/>
    </w:p>
    <w:p>
      <w:pPr>
        <w:pStyle w:val="1132"/>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、单价合同。</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综合单价包含的风险范围：量的风险由发包人承担，价的风险在下述约定范围内由承包人承担。</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合同价款中包括的风险范围：除本合同注明的</w:t>
      </w:r>
      <w:r>
        <w:rPr>
          <w:rFonts w:ascii="宋体" w:hAnsi="宋体"/>
          <w:color w:val="auto"/>
          <w:sz w:val="21"/>
          <w:szCs w:val="21"/>
          <w:highlight w:val="none"/>
        </w:rPr>
        <w:t xml:space="preserve">“</w:t>
      </w:r>
      <w:r>
        <w:rPr>
          <w:rFonts w:hint="eastAsia" w:ascii="宋体" w:hAnsi="宋体"/>
          <w:color w:val="auto"/>
          <w:sz w:val="21"/>
          <w:szCs w:val="21"/>
          <w:highlight w:val="none"/>
        </w:rPr>
        <w:t xml:space="preserve">风险范围以外合同价款条款调整方法</w:t>
      </w:r>
      <w:r>
        <w:rPr>
          <w:rFonts w:ascii="宋体" w:hAnsi="宋体"/>
          <w:color w:val="auto"/>
          <w:sz w:val="21"/>
          <w:szCs w:val="21"/>
          <w:highlight w:val="none"/>
        </w:rPr>
        <w:t xml:space="preserve">”</w:t>
      </w:r>
      <w:r>
        <w:rPr>
          <w:rFonts w:hint="eastAsia" w:ascii="宋体" w:hAnsi="宋体"/>
          <w:color w:val="auto"/>
          <w:sz w:val="21"/>
          <w:szCs w:val="21"/>
          <w:highlight w:val="none"/>
        </w:rPr>
        <w:t xml:space="preserve">的内容，其它均为合同价款中已包括的风险范围。</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风险费用的计算方法：承包人投标报价时自行考虑，自主报价，风险范围内的所有费用已全部计入在合同总价内，施工过程和竣工结算时风险范围内合同价款不再计算调整。</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风险范围以外合同价格的调整方法：</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一、</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法律法规变化</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、招标工程以投标截止日前</w:t>
      </w:r>
      <w:r>
        <w:rPr>
          <w:rFonts w:ascii="宋体" w:hAnsi="宋体"/>
          <w:color w:val="auto"/>
          <w:sz w:val="21"/>
          <w:szCs w:val="21"/>
          <w:highlight w:val="none"/>
          <w:u w:val="single"/>
        </w:rPr>
        <w:t xml:space="preserve">28</w:t>
      </w:r>
      <w:r>
        <w:rPr>
          <w:rFonts w:hint="eastAsia" w:ascii="宋体" w:hAnsi="宋体"/>
          <w:color w:val="auto"/>
          <w:sz w:val="21"/>
          <w:szCs w:val="21"/>
          <w:highlight w:val="none"/>
          <w:u w:val="single"/>
        </w:rPr>
        <w:t xml:space="preserve">天、非招标工程以合同签订前</w:t>
      </w:r>
      <w:r>
        <w:rPr>
          <w:rFonts w:ascii="宋体" w:hAnsi="宋体"/>
          <w:color w:val="auto"/>
          <w:sz w:val="21"/>
          <w:szCs w:val="21"/>
          <w:highlight w:val="none"/>
          <w:u w:val="single"/>
        </w:rPr>
        <w:t xml:space="preserve">28</w:t>
      </w:r>
      <w:r>
        <w:rPr>
          <w:rFonts w:hint="eastAsia" w:ascii="宋体" w:hAnsi="宋体"/>
          <w:color w:val="auto"/>
          <w:sz w:val="21"/>
          <w:szCs w:val="21"/>
          <w:highlight w:val="none"/>
          <w:u w:val="single"/>
        </w:rPr>
        <w:t xml:space="preserve">天为基准日，其后因国家的法律、法规、规章和政策发生变化引起工程造价增减变化的，发承包双方应按照省级或行业建设主管部门或其授权的工程造价管理机构据此发布的规定调整合同价款。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、因承包人原因导致工期延误的，按本条</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、规定的调整时间，在合同工程原定竣工时间之后，合同价款调增的不予调整，合同价款调减的予以调整。</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工程变更</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因工程变更引起已标价工程量清单项目或其工程数量发生变化时，应按照下列规定调整：</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）、已标价工程量清单中有适用于变更工程项目的，应采用该项目的单价；但当工程变更导致该清单项目的工程数量发生变化，且工程量偏差超过</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时，该项目单价应调整，当工程量增加</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以上时，增加部分的工程量的综合单价应予调低；当工程量减少</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以上时，减少后剩余部分的工程量的综合单价应予调高。</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）、已标价工程量清单中没有适用但有类似于变更工程项目的，可在合理范围内参照类似项目的单价。</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承包人报价浮动率按中标让利幅度执行。</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）、安全文明施工费应按照实际发生变化的措施项目必须按国家、省市相关规定执行。</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）、采用单价计算的措施项目费，按照实际发生变化的措施项目，按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的规定确定单价。</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）、按总价（或系数）计算的措施项目费，按照实际发生变化的措施项目调整，但应考虑承包人报价浮动因素，即调整金额按照实际调整金额乘以</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本条二、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规定的承包人报价浮动率计算。如果承包人未事先将实施的方案提交给发包人确定，则应视为工程变更不引起措施项目费的调整或承包人放弃调整措施项目费的权利。</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三、项目特征不符</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承包人应按照发包人提供的设计图纸实施合同工程，若在合同履行期间出现设计图纸（含设计变更）与招标工程量清单任一项目的特征描述不符，且该变化引起该项目工程造价增减变化的，应按照实际施工的项目特征，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相关条款的规定重新确定相应工程量清单项目的综合单价，并调整合同价款。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四、工程量清单缺项</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、合同履行期间，由于招标工程量清单中缺项，新增分部分项工程清单项目的，应按照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的规定确定单价，并调整合同价款。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、新增分部分项工程清单项目后，引起措施项目发生变化的，应按照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的规定，在承包人提交的实施方案被发包人批准后调整合同价款。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、由于招标工程量清单中措施项目缺项，承包人应将新增措施项目实施方案提交发包人批准后，按照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五、工程量偏差</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、合同履行期间，应当予计算的实际工程量与招标工程量清单出现偏差，且符合本</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五、</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规定时，发承包双方应调整合同价款。</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、对于任一招标工程量清单项目，当因本条规定的工程量偏差和</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规定的工程变更等原因导致工程量偏差超过</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时，可进行调整。当工程量增加</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以上时，增加部分的工程量的综合单价应予调低；当工程量减少</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以上时，减少后剩余部分的工程量的综合单价应予调高。</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六、计日工</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、发包人通知承包人以计日工方式实施的零星工作，承包人应予执行。</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的规定商定计日工单价计算。</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七、暂估价</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、发包人在招标工程量清单中给定暂估价的材料、工程设备属于依法必须招标的，应由发承包双方以招标的方式选择供应商，确定价格，并应以此为依据取代暂估价，调整合同价款。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、发包人在招标工程量清单中给定暂估价的材料、工程设备不属于依法必须招标的，应由承包人按照合同约定采购，经发包人确认单价后取代暂估价，调整合同价款。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、发包人在工程量清单中给定暂估价的专业工程不属于依法必须招标的，应按照</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二、</w:t>
      </w: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、条</w:t>
      </w:r>
      <w:r>
        <w:rPr>
          <w:rFonts w:ascii="宋体" w:hAnsi="宋体"/>
          <w:color w:val="auto"/>
          <w:sz w:val="21"/>
          <w:szCs w:val="21"/>
          <w:highlight w:val="none"/>
          <w:u w:val="single"/>
        </w:rPr>
        <w:t xml:space="preserve">”</w:t>
      </w:r>
      <w:r>
        <w:rPr>
          <w:rFonts w:hint="eastAsia" w:ascii="宋体" w:hAnsi="宋体"/>
          <w:color w:val="auto"/>
          <w:sz w:val="21"/>
          <w:szCs w:val="21"/>
          <w:highlight w:val="none"/>
          <w:u w:val="single"/>
        </w:rPr>
        <w:t xml:space="preserve">相应条款的规定确定专业工程价款，并应以此为依据取代专业工程暂估价，调整合同价款。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、发包人在招标工程量清单中给定暂估价的专业工程，依法必须招标的，应以专业工程发包中标价为依据取代专业工程暂估价，调整合同价款。</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八、不可抗力</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u w:val="single"/>
        </w:rPr>
        <w:t xml:space="preserve">1、因不可抗力事件导致的人员伤亡、财产损失及其费用增加，发承包双方应按下列原则分别承担并调整合同价款和工期：</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1</w:t>
      </w:r>
      <w:r>
        <w:rPr>
          <w:rFonts w:hint="eastAsia" w:ascii="宋体" w:hAnsi="宋体"/>
          <w:color w:val="auto"/>
          <w:sz w:val="21"/>
          <w:szCs w:val="21"/>
          <w:highlight w:val="none"/>
          <w:u w:val="single"/>
        </w:rPr>
        <w:t xml:space="preserve">）、合同工程本身的损害、因工程损害导致第三方人员伤亡和财产损失以及运至施工场地用于施工的材料和待安装的损害，应由发包人承担；</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2</w:t>
      </w:r>
      <w:r>
        <w:rPr>
          <w:rFonts w:hint="eastAsia" w:ascii="宋体" w:hAnsi="宋体"/>
          <w:color w:val="auto"/>
          <w:sz w:val="21"/>
          <w:szCs w:val="21"/>
          <w:highlight w:val="none"/>
          <w:u w:val="single"/>
        </w:rPr>
        <w:t xml:space="preserve">）、发包人、承包人人员伤亡应由其所在单位负责，并应承担相应费用；</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3</w:t>
      </w:r>
      <w:r>
        <w:rPr>
          <w:rFonts w:hint="eastAsia" w:ascii="宋体" w:hAnsi="宋体"/>
          <w:color w:val="auto"/>
          <w:sz w:val="21"/>
          <w:szCs w:val="21"/>
          <w:highlight w:val="none"/>
          <w:u w:val="single"/>
        </w:rPr>
        <w:t xml:space="preserve">）、承包人的施工机械设备损坏及停工损失，应由承包人承担；</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t xml:space="preserve">4</w:t>
      </w:r>
      <w:r>
        <w:rPr>
          <w:rFonts w:hint="eastAsia" w:ascii="宋体" w:hAnsi="宋体"/>
          <w:color w:val="auto"/>
          <w:sz w:val="21"/>
          <w:szCs w:val="21"/>
          <w:highlight w:val="none"/>
          <w:u w:val="single"/>
        </w:rPr>
        <w:t xml:space="preserve">）、停工期间，承包人应发包人要求留在施工的必要的管理人员及保卫人员的费用应由发包人承担；</w:t>
      </w:r>
      <w:r/>
    </w:p>
    <w:p>
      <w:pPr>
        <w:pStyle w:val="1132"/>
        <w:ind w:firstLine="420"/>
        <w:pageBreakBefore w:val="0"/>
        <w:spacing w:line="360" w:lineRule="auto"/>
        <w:rPr>
          <w:rFonts w:ascii="宋体" w:hAnsi="宋体"/>
          <w:dstrike/>
          <w:color w:val="auto"/>
          <w:sz w:val="21"/>
          <w:szCs w:val="21"/>
          <w:highlight w:val="none"/>
          <w:u w:val="single"/>
        </w:rPr>
      </w:pPr>
      <w:r>
        <w:rPr>
          <w:rFonts w:ascii="宋体" w:hAnsi="宋体"/>
          <w:color w:val="auto"/>
          <w:sz w:val="21"/>
          <w:szCs w:val="21"/>
          <w:highlight w:val="none"/>
          <w:u w:val="single"/>
        </w:rPr>
        <w:t xml:space="preserve">5</w:t>
      </w:r>
      <w:r>
        <w:rPr>
          <w:rFonts w:hint="eastAsia" w:ascii="宋体" w:hAnsi="宋体"/>
          <w:color w:val="auto"/>
          <w:sz w:val="21"/>
          <w:szCs w:val="21"/>
          <w:highlight w:val="none"/>
          <w:u w:val="single"/>
        </w:rPr>
        <w:t xml:space="preserve">）、工程所需清理、修复费用，应由发包人承担。</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2、总价合同。</w:t>
      </w:r>
      <w:r/>
    </w:p>
    <w:p>
      <w:pPr>
        <w:pStyle w:val="1132"/>
        <w:ind w:firstLine="420"/>
        <w:pageBreakBefore w:val="0"/>
        <w:spacing w:line="360" w:lineRule="auto"/>
        <w:rPr>
          <w:rFonts w:eastAsia="仿宋_GB2312"/>
          <w:color w:val="auto"/>
          <w:sz w:val="21"/>
          <w:szCs w:val="21"/>
          <w:highlight w:val="none"/>
        </w:rPr>
      </w:pPr>
      <w:r>
        <w:rPr>
          <w:rFonts w:ascii="宋体" w:hAnsi="宋体"/>
          <w:color w:val="auto"/>
          <w:sz w:val="21"/>
          <w:szCs w:val="21"/>
          <w:highlight w:val="none"/>
        </w:rPr>
        <w:t xml:space="preserve">总价包含的风险范围：</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w:t>
      </w:r>
      <w:r/>
    </w:p>
    <w:p>
      <w:pPr>
        <w:pStyle w:val="1132"/>
        <w:ind w:firstLine="420"/>
        <w:pageBreakBefore w:val="0"/>
        <w:spacing w:line="360" w:lineRule="auto"/>
        <w:rPr>
          <w:rFonts w:ascii="宋体" w:hAnsi="宋体"/>
          <w:bCs/>
          <w:color w:val="auto"/>
          <w:sz w:val="21"/>
          <w:szCs w:val="21"/>
          <w:highlight w:val="none"/>
          <w:u w:val="single"/>
        </w:rPr>
      </w:pPr>
      <w:r>
        <w:rPr>
          <w:rFonts w:ascii="宋体" w:hAnsi="宋体"/>
          <w:color w:val="auto"/>
          <w:sz w:val="21"/>
          <w:szCs w:val="21"/>
          <w:highlight w:val="none"/>
        </w:rPr>
        <w:t xml:space="preserve">风险费用的计算方法：</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风险范围以外合同价格的调整方法：</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3、其他价格方式：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bookmarkStart w:id="363" w:name="_Toc300935004"/>
      <w:r/>
      <w:bookmarkStart w:id="364" w:name="_Toc303539161"/>
      <w:r/>
      <w:bookmarkStart w:id="365" w:name="_Toc297216213"/>
      <w:r/>
      <w:bookmarkStart w:id="366" w:name="_Toc312678042"/>
      <w:r/>
      <w:bookmarkStart w:id="367" w:name="_Toc304295581"/>
      <w:r/>
      <w:bookmarkStart w:id="368" w:name="_Toc297123554"/>
      <w:r/>
      <w:bookmarkStart w:id="369" w:name="_Toc292559917"/>
      <w:r/>
      <w:bookmarkStart w:id="370" w:name="_Toc296944546"/>
      <w:r/>
      <w:bookmarkStart w:id="371" w:name="_Toc296347206"/>
      <w:r/>
      <w:bookmarkStart w:id="372" w:name="_Toc296503207"/>
      <w:r/>
      <w:bookmarkStart w:id="373" w:name="_Toc296346708"/>
      <w:r/>
      <w:bookmarkStart w:id="374" w:name="_Toc292559412"/>
      <w:r/>
      <w:bookmarkStart w:id="375" w:name="_Toc296891035"/>
      <w:r/>
      <w:bookmarkStart w:id="376" w:name="_Toc296891247"/>
      <w:r/>
      <w:bookmarkStart w:id="377" w:name="_Toc297120507"/>
      <w:r/>
      <w:bookmarkStart w:id="378" w:name="_Toc297048393"/>
      <w:r>
        <w:rPr>
          <w:rFonts w:ascii="宋体" w:hAnsi="宋体"/>
          <w:color w:val="auto"/>
          <w:sz w:val="21"/>
          <w:szCs w:val="21"/>
          <w:highlight w:val="none"/>
        </w:rPr>
        <w:t xml:space="preserve">12.2 预付款</w:t>
      </w:r>
      <w:bookmarkEnd w:id="363"/>
      <w:r/>
      <w:bookmarkEnd w:id="364"/>
      <w:r/>
      <w:bookmarkEnd w:id="365"/>
      <w:r/>
      <w:bookmarkEnd w:id="366"/>
      <w:r/>
      <w:bookmarkEnd w:id="367"/>
      <w:r/>
      <w:bookmarkEnd w:id="368"/>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12.2.1 预付款的支付</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预付款支付比例或金额：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预付款支付期限：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预付款扣回的方式：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12.2.2 预付款担保</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承包人提交预付款担保的期限：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预付款担保的形式为：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369"/>
      <w:r/>
      <w:bookmarkEnd w:id="370"/>
      <w:r/>
      <w:bookmarkEnd w:id="371"/>
      <w:r/>
      <w:bookmarkEnd w:id="372"/>
      <w:r/>
      <w:bookmarkEnd w:id="373"/>
      <w:r/>
      <w:bookmarkEnd w:id="374"/>
      <w:r/>
      <w:bookmarkEnd w:id="375"/>
      <w:r/>
      <w:bookmarkEnd w:id="376"/>
      <w:r/>
      <w:bookmarkEnd w:id="377"/>
      <w:r/>
      <w:bookmarkEnd w:id="378"/>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 计量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12.3.1 计量原则</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工程量计算规则：</w:t>
      </w:r>
      <w:r>
        <w:rPr>
          <w:rFonts w:hint="eastAsia" w:ascii="宋体" w:hAnsi="宋体"/>
          <w:color w:val="auto"/>
          <w:sz w:val="21"/>
          <w:szCs w:val="21"/>
          <w:highlight w:val="none"/>
          <w:u w:val="single"/>
        </w:rPr>
        <w:t xml:space="preserve">《建设工程工程量清单计价规范》（GB50500-2013）及相应计价定额的计算规则 </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12.3.2 计量周期</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关于计量周期的约定：</w:t>
      </w:r>
      <w:r>
        <w:rPr>
          <w:rFonts w:ascii="宋体" w:hAnsi="宋体"/>
          <w:color w:val="auto"/>
          <w:sz w:val="21"/>
          <w:szCs w:val="21"/>
          <w:highlight w:val="none"/>
          <w:u w:val="single"/>
        </w:rPr>
        <w:t xml:space="preserve">  /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12.3.3 单价合同的计量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关于单价合同计量的约定：</w:t>
      </w:r>
      <w:r>
        <w:rPr>
          <w:rFonts w:hint="eastAsia"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12.3.4 总价合同的计量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关于总价合同计量的约定：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12.3.5总价合同采用支付分解表计量支付的，是否适用第12.3.4 项</w:t>
      </w:r>
      <w:r>
        <w:rPr>
          <w:rFonts w:hint="eastAsia" w:ascii="宋体" w:hAnsi="宋体"/>
          <w:color w:val="auto"/>
          <w:sz w:val="21"/>
          <w:szCs w:val="21"/>
          <w:highlight w:val="none"/>
        </w:rPr>
        <w:t xml:space="preserve">〔</w:t>
      </w:r>
      <w:r>
        <w:rPr>
          <w:rFonts w:ascii="宋体" w:hAnsi="宋体"/>
          <w:color w:val="auto"/>
          <w:sz w:val="21"/>
          <w:szCs w:val="21"/>
          <w:highlight w:val="none"/>
        </w:rPr>
        <w:t xml:space="preserve">总价合同的计量</w:t>
      </w:r>
      <w:r>
        <w:rPr>
          <w:rFonts w:hint="eastAsia" w:ascii="宋体" w:hAnsi="宋体"/>
          <w:color w:val="auto"/>
          <w:sz w:val="21"/>
          <w:szCs w:val="21"/>
          <w:highlight w:val="none"/>
        </w:rPr>
        <w:t xml:space="preserve">〕</w:t>
      </w:r>
      <w:r>
        <w:rPr>
          <w:rFonts w:ascii="宋体" w:hAnsi="宋体"/>
          <w:color w:val="auto"/>
          <w:sz w:val="21"/>
          <w:szCs w:val="21"/>
          <w:highlight w:val="none"/>
        </w:rPr>
        <w:t xml:space="preserve">约定</w:t>
      </w:r>
      <w:r>
        <w:rPr>
          <w:rFonts w:hint="eastAsia" w:ascii="宋体" w:hAnsi="宋体"/>
          <w:color w:val="auto"/>
          <w:sz w:val="21"/>
          <w:szCs w:val="21"/>
          <w:highlight w:val="none"/>
        </w:rPr>
        <w:t xml:space="preserve">进行计量：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12.3.6 其他价格形式合同的计量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其他价格形式的计量方式和程序：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12.4 工程进度款支付</w:t>
      </w:r>
      <w:r/>
    </w:p>
    <w:p>
      <w:pPr>
        <w:pStyle w:val="1132"/>
        <w:ind w:firstLine="420"/>
        <w:pageBreakBefore w:val="0"/>
        <w:spacing w:line="360" w:lineRule="auto"/>
        <w:rPr>
          <w:rFonts w:hint="eastAsia" w:ascii="宋体" w:hAnsi="宋体"/>
          <w:b/>
          <w:bCs/>
          <w:color w:val="auto"/>
          <w:sz w:val="21"/>
          <w:szCs w:val="21"/>
          <w:highlight w:val="none"/>
          <w:u w:val="single"/>
          <w:lang w:val="en-US" w:eastAsia="zh-CN"/>
        </w:rPr>
      </w:pPr>
      <w:r/>
      <w:bookmarkStart w:id="379" w:name="_Toc292559416"/>
      <w:r/>
      <w:bookmarkStart w:id="380" w:name="_Toc297123556"/>
      <w:r/>
      <w:bookmarkStart w:id="381" w:name="_Toc297048397"/>
      <w:r/>
      <w:bookmarkStart w:id="382" w:name="_Toc296503211"/>
      <w:r/>
      <w:bookmarkStart w:id="383" w:name="_Toc300935006"/>
      <w:r/>
      <w:bookmarkStart w:id="384" w:name="_Toc296891039"/>
      <w:r/>
      <w:bookmarkStart w:id="385" w:name="_Toc296891251"/>
      <w:r/>
      <w:bookmarkStart w:id="386" w:name="_Toc296944550"/>
      <w:r/>
      <w:bookmarkStart w:id="387" w:name="_Toc296347210"/>
      <w:r/>
      <w:bookmarkStart w:id="388" w:name="_Toc297120511"/>
      <w:r/>
      <w:bookmarkStart w:id="389" w:name="_Toc297216215"/>
      <w:r/>
      <w:bookmarkStart w:id="390" w:name="_Toc296346712"/>
      <w:r/>
      <w:bookmarkStart w:id="391" w:name="_Toc303539163"/>
      <w:r/>
      <w:bookmarkStart w:id="392" w:name="_Toc292559921"/>
      <w:r>
        <w:rPr>
          <w:rFonts w:hint="eastAsia" w:ascii="宋体" w:hAnsi="宋体"/>
          <w:b/>
          <w:bCs/>
          <w:color w:val="auto"/>
          <w:sz w:val="21"/>
          <w:szCs w:val="21"/>
          <w:highlight w:val="none"/>
          <w:u w:val="single"/>
          <w:lang w:val="en-US" w:eastAsia="zh-CN"/>
        </w:rPr>
        <w:t xml:space="preserve">中标价即为合同价，工程建设中上级部分财政资金到镇（村）后，发包方应根据省级要求按工程进度比例支付工程款；工程竣工后，经区级验收合格、待上级剩余资金全部到镇（村）且工程结算审计后付至工程结算审定价的97%，余款 3%作为质保金，待质保期满后且无质量问题一次性付清（甲方付款时乙方需提供正式税票，甲方自收到发票之日起10个工作日内付款）。</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12.4.2 进度付款申请单的编制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关于进度付款申请单编制的约定：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按通用条款 </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Pr>
          <w:rFonts w:ascii="宋体" w:hAnsi="宋体"/>
          <w:color w:val="auto"/>
          <w:sz w:val="21"/>
          <w:szCs w:val="21"/>
          <w:highlight w:val="none"/>
        </w:rPr>
        <w:t xml:space="preserve">2.4.3 进度付款申请单的提交</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（1）单价合同进度付款申请单提交的约定</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w:t>
      </w:r>
      <w:r>
        <w:rPr>
          <w:rFonts w:ascii="宋体" w:hAnsi="宋体" w:cs="宋体"/>
          <w:b/>
          <w:bCs/>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（2）总价合同进度付款申请单提交的约定</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（3）其他价格形式合同进度付款申请单提交的约定：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12.4.4 进度款审核和支付</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（1）监理人审查并报送发包人的期限：</w:t>
      </w:r>
      <w:r>
        <w:rPr>
          <w:rFonts w:hint="eastAsia" w:ascii="宋体" w:hAnsi="宋体"/>
          <w:color w:val="auto"/>
          <w:sz w:val="21"/>
          <w:szCs w:val="21"/>
          <w:highlight w:val="none"/>
          <w:u w:val="single"/>
        </w:rPr>
        <w:t xml:space="preserve">  按通用条款 </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发包人完成审批并签发进度款支付证书的期限：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（2）发包人支付进度款的期限：</w:t>
      </w:r>
      <w:r>
        <w:rPr>
          <w:rFonts w:ascii="宋体" w:hAnsi="宋体"/>
          <w:color w:val="auto"/>
          <w:sz w:val="21"/>
          <w:szCs w:val="21"/>
          <w:highlight w:val="none"/>
          <w:u w:val="single"/>
        </w:rPr>
        <w:t xml:space="preserve">  </w:t>
      </w:r>
      <w:r>
        <w:rPr>
          <w:rFonts w:ascii="宋体" w:hAnsi="宋体" w:cs="宋体"/>
          <w:b/>
          <w:bCs/>
          <w:color w:val="auto"/>
          <w:sz w:val="21"/>
          <w:szCs w:val="21"/>
          <w:highlight w:val="none"/>
          <w:u w:val="single"/>
        </w:rPr>
        <w:t xml:space="preserve"> </w:t>
      </w:r>
      <w:r>
        <w:rPr>
          <w:rFonts w:hint="eastAsia" w:ascii="宋体" w:hAnsi="宋体"/>
          <w:color w:val="auto"/>
          <w:sz w:val="21"/>
          <w:szCs w:val="21"/>
          <w:highlight w:val="none"/>
          <w:u w:val="single"/>
        </w:rPr>
        <w:t xml:space="preserve">按</w:t>
      </w:r>
      <w:r>
        <w:rPr>
          <w:rFonts w:ascii="宋体" w:hAnsi="宋体"/>
          <w:color w:val="auto"/>
          <w:sz w:val="21"/>
          <w:szCs w:val="21"/>
          <w:highlight w:val="none"/>
          <w:u w:val="single"/>
        </w:rPr>
        <w:t xml:space="preserve">12.4</w:t>
      </w:r>
      <w:r>
        <w:rPr>
          <w:rFonts w:hint="eastAsia" w:ascii="宋体" w:hAnsi="宋体"/>
          <w:color w:val="auto"/>
          <w:sz w:val="21"/>
          <w:szCs w:val="21"/>
          <w:highlight w:val="none"/>
          <w:u w:val="single"/>
        </w:rPr>
        <w:t xml:space="preserve">条款内容执行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525"/>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12.4.6 支付分解表的编制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2、总价合同支付分解表的编制与审批：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3、单价合同的总价项目支付分解表的编制与审批：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p>
    <w:p>
      <w:pPr>
        <w:pStyle w:val="1163"/>
        <w:ind w:firstLine="210"/>
        <w:pageBreakBefore w:val="0"/>
        <w:spacing w:before="0" w:after="0" w:line="360" w:lineRule="auto"/>
        <w:rPr>
          <w:rFonts w:ascii="宋体" w:hAnsi="宋体"/>
          <w:b w:val="0"/>
          <w:color w:val="auto"/>
          <w:sz w:val="21"/>
          <w:szCs w:val="21"/>
          <w:highlight w:val="none"/>
        </w:rPr>
      </w:pPr>
      <w:r/>
      <w:bookmarkStart w:id="393" w:name="_Toc296346720"/>
      <w:r/>
      <w:bookmarkStart w:id="394" w:name="_Toc296891259"/>
      <w:r/>
      <w:bookmarkStart w:id="395" w:name="_Toc297216223"/>
      <w:r/>
      <w:bookmarkStart w:id="396" w:name="_Toc296503219"/>
      <w:r/>
      <w:bookmarkStart w:id="397" w:name="_Toc300935015"/>
      <w:r/>
      <w:bookmarkStart w:id="398" w:name="_Toc296944558"/>
      <w:r/>
      <w:bookmarkStart w:id="399" w:name="_Toc292559424"/>
      <w:r/>
      <w:bookmarkStart w:id="400" w:name="_Toc296891047"/>
      <w:r/>
      <w:bookmarkStart w:id="401" w:name="_Toc297048405"/>
      <w:r/>
      <w:bookmarkStart w:id="402" w:name="_Toc312678053"/>
      <w:r/>
      <w:bookmarkStart w:id="403" w:name="_Toc304295593"/>
      <w:r/>
      <w:bookmarkStart w:id="404" w:name="_Toc297120519"/>
      <w:r/>
      <w:bookmarkStart w:id="405" w:name="_Toc296347218"/>
      <w:r/>
      <w:bookmarkStart w:id="406" w:name="_Toc351203645"/>
      <w:r/>
      <w:bookmarkStart w:id="407" w:name="_Toc303539172"/>
      <w:r/>
      <w:bookmarkStart w:id="408" w:name="_Toc292559929"/>
      <w:r/>
      <w:bookmarkStart w:id="409" w:name="_Toc297123564"/>
      <w:r>
        <w:rPr>
          <w:rFonts w:ascii="宋体" w:hAnsi="宋体"/>
          <w:b w:val="0"/>
          <w:color w:val="auto"/>
          <w:sz w:val="21"/>
          <w:szCs w:val="21"/>
          <w:highlight w:val="none"/>
        </w:rPr>
        <w:t xml:space="preserve">13.</w:t>
      </w:r>
      <w:r>
        <w:rPr>
          <w:rFonts w:hint="eastAsia" w:ascii="宋体" w:hAnsi="宋体"/>
          <w:b w:val="0"/>
          <w:color w:val="auto"/>
          <w:sz w:val="21"/>
          <w:szCs w:val="21"/>
          <w:highlight w:val="none"/>
        </w:rPr>
        <w:t xml:space="preserve"> </w:t>
      </w:r>
      <w:r>
        <w:rPr>
          <w:rFonts w:ascii="宋体" w:hAnsi="宋体"/>
          <w:b w:val="0"/>
          <w:color w:val="auto"/>
          <w:sz w:val="21"/>
          <w:szCs w:val="21"/>
          <w:highlight w:val="none"/>
        </w:rPr>
        <w:t xml:space="preserve">验收和工程试车</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13.1 分部分项工程验收</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13.1.2监理人不能按时进行验收时，应提前</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24</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小时提交书面延期要求。</w:t>
      </w:r>
      <w:r/>
    </w:p>
    <w:p>
      <w:pPr>
        <w:pStyle w:val="1132"/>
        <w:ind w:firstLine="420"/>
        <w:pageBreakBefore w:val="0"/>
        <w:spacing w:line="360" w:lineRule="auto"/>
        <w:rPr>
          <w:rFonts w:ascii="宋体" w:hAnsi="宋体"/>
          <w:b/>
          <w:color w:val="auto"/>
          <w:sz w:val="21"/>
          <w:szCs w:val="21"/>
          <w:highlight w:val="none"/>
        </w:rPr>
      </w:pPr>
      <w:r>
        <w:rPr>
          <w:rFonts w:ascii="宋体" w:hAnsi="宋体"/>
          <w:color w:val="auto"/>
          <w:sz w:val="21"/>
          <w:szCs w:val="21"/>
          <w:highlight w:val="none"/>
        </w:rPr>
        <w:t xml:space="preserve">关于延期最长不得超过：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48</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小时。</w:t>
      </w:r>
      <w:r/>
    </w:p>
    <w:p>
      <w:pPr>
        <w:pStyle w:val="1132"/>
        <w:ind w:firstLine="420"/>
        <w:pageBreakBefore w:val="0"/>
        <w:spacing w:line="360" w:lineRule="auto"/>
        <w:rPr>
          <w:rFonts w:ascii="宋体" w:hAnsi="宋体"/>
          <w:color w:val="auto"/>
          <w:sz w:val="21"/>
          <w:szCs w:val="21"/>
          <w:highlight w:val="none"/>
        </w:rPr>
      </w:pPr>
      <w:r/>
      <w:bookmarkStart w:id="410" w:name="_Toc312678056"/>
      <w:r/>
      <w:bookmarkStart w:id="411" w:name="_Toc297048409"/>
      <w:r/>
      <w:bookmarkStart w:id="412" w:name="_Toc297120523"/>
      <w:r/>
      <w:bookmarkStart w:id="413" w:name="_Toc303539173"/>
      <w:r/>
      <w:bookmarkStart w:id="414" w:name="_Toc300935016"/>
      <w:r/>
      <w:bookmarkStart w:id="415" w:name="_Toc292559933"/>
      <w:r/>
      <w:bookmarkStart w:id="416" w:name="_Toc292559428"/>
      <w:r/>
      <w:bookmarkStart w:id="417" w:name="_Toc297123565"/>
      <w:r/>
      <w:bookmarkStart w:id="418" w:name="_Toc297216224"/>
      <w:r/>
      <w:bookmarkStart w:id="419" w:name="_Toc296347222"/>
      <w:r/>
      <w:bookmarkStart w:id="420" w:name="_Toc296346724"/>
      <w:r/>
      <w:bookmarkStart w:id="421" w:name="_Toc296944562"/>
      <w:r/>
      <w:bookmarkStart w:id="422" w:name="_Toc296503223"/>
      <w:r/>
      <w:bookmarkStart w:id="423" w:name="_Toc296891263"/>
      <w:r/>
      <w:bookmarkStart w:id="424" w:name="_Toc304295596"/>
      <w:r/>
      <w:bookmarkStart w:id="425" w:name="_Toc296891051"/>
      <w:r/>
      <w:bookmarkStart w:id="426" w:name="_Toc267251474"/>
      <w:r/>
      <w:bookmarkStart w:id="427" w:name="_Toc267251476"/>
      <w:r/>
      <w:bookmarkStart w:id="428" w:name="_Toc267251473"/>
      <w:r/>
      <w:bookmarkStart w:id="429" w:name="_Toc267251475"/>
      <w:r/>
      <w:bookmarkStart w:id="430" w:name="_Toc267251472"/>
      <w:r/>
      <w:bookmarkStart w:id="431" w:name="_Toc267251471"/>
      <w:r/>
      <w:bookmarkStart w:id="432" w:name="_Toc267251470"/>
      <w:r>
        <w:rPr>
          <w:rFonts w:ascii="宋体" w:hAnsi="宋体"/>
          <w:color w:val="auto"/>
          <w:sz w:val="21"/>
          <w:szCs w:val="21"/>
          <w:highlight w:val="none"/>
        </w:rPr>
        <w:t xml:space="preserve">13.2 竣工验收</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pStyle w:val="1132"/>
        <w:ind w:firstLine="420"/>
        <w:pageBreakBefore w:val="0"/>
        <w:spacing w:line="360" w:lineRule="auto"/>
        <w:rPr>
          <w:rFonts w:ascii="宋体" w:hAnsi="宋体"/>
          <w:color w:val="auto"/>
          <w:sz w:val="21"/>
          <w:szCs w:val="21"/>
          <w:highlight w:val="none"/>
        </w:rPr>
      </w:pPr>
      <w:r/>
      <w:bookmarkStart w:id="433" w:name="_Toc280868704"/>
      <w:r/>
      <w:bookmarkStart w:id="434" w:name="_Toc280868705"/>
      <w:r/>
      <w:bookmarkStart w:id="435" w:name="_Toc280868706"/>
      <w:r/>
      <w:bookmarkStart w:id="436" w:name="_Toc280868708"/>
      <w:r/>
      <w:bookmarkStart w:id="437" w:name="_Toc280868707"/>
      <w:r/>
      <w:bookmarkStart w:id="438" w:name="_Toc280868709"/>
      <w:r>
        <w:rPr>
          <w:rFonts w:ascii="宋体" w:hAnsi="宋体"/>
          <w:color w:val="auto"/>
          <w:sz w:val="21"/>
          <w:szCs w:val="21"/>
          <w:highlight w:val="none"/>
        </w:rPr>
        <w:t xml:space="preserve">13.2.2竣工验收程序</w:t>
      </w:r>
      <w:bookmarkEnd w:id="433"/>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关于竣工验收程序的约定：</w:t>
      </w:r>
      <w:r>
        <w:rPr>
          <w:rFonts w:hint="eastAsia" w:ascii="宋体" w:hAnsi="宋体"/>
          <w:color w:val="auto"/>
          <w:sz w:val="21"/>
          <w:szCs w:val="21"/>
          <w:highlight w:val="none"/>
          <w:u w:val="single"/>
        </w:rPr>
        <w:t xml:space="preserve">按通用条款执行。</w:t>
      </w:r>
      <w:bookmarkEnd w:id="434"/>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13.2.5移交、接收全部与部分工程</w:t>
      </w:r>
      <w:bookmarkEnd w:id="435"/>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承包人向发包人移交工程的期限：</w:t>
      </w:r>
      <w:r>
        <w:rPr>
          <w:rFonts w:hint="eastAsia" w:ascii="宋体" w:hAnsi="宋体"/>
          <w:color w:val="auto"/>
          <w:sz w:val="21"/>
          <w:szCs w:val="21"/>
          <w:highlight w:val="none"/>
          <w:u w:val="single"/>
        </w:rPr>
        <w:t xml:space="preserve">按通用条款执行。</w:t>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发包人未按本合同约定接收全部或部分工程的，违约金的计算方法为：</w:t>
      </w:r>
      <w:r>
        <w:rPr>
          <w:rFonts w:hint="eastAsia" w:ascii="宋体" w:hAnsi="宋体"/>
          <w:color w:val="auto"/>
          <w:sz w:val="21"/>
          <w:szCs w:val="21"/>
          <w:highlight w:val="none"/>
          <w:u w:val="single"/>
        </w:rPr>
        <w:t xml:space="preserve">每延误一天罚合同价的万分之五</w:t>
      </w:r>
      <w:r>
        <w:rPr>
          <w:rFonts w:ascii="宋体" w:hAnsi="宋体"/>
          <w:color w:val="auto"/>
          <w:sz w:val="21"/>
          <w:szCs w:val="21"/>
          <w:highlight w:val="none"/>
        </w:rPr>
        <w:t xml:space="preserve">。</w:t>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承包人未按时移交工程的，违约金的计算方法为：</w:t>
      </w:r>
      <w:r>
        <w:rPr>
          <w:rFonts w:hint="eastAsia" w:ascii="宋体" w:hAnsi="宋体"/>
          <w:color w:val="auto"/>
          <w:sz w:val="21"/>
          <w:szCs w:val="21"/>
          <w:highlight w:val="none"/>
          <w:u w:val="single"/>
        </w:rPr>
        <w:t xml:space="preserve"> 每延误一天罚合同价的万分之五</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13.3 工程试车</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13.3.1 试车程序</w:t>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工程试车内容：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按规定执行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（1）单机无负荷试车费用由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（2）无负荷联动试车费用由</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承包人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承担。</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13.3.3 投料试车</w:t>
      </w:r>
      <w:r/>
    </w:p>
    <w:p>
      <w:pPr>
        <w:pStyle w:val="1132"/>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关于投料试车相关事项的约定：</w:t>
      </w:r>
      <w:r>
        <w:rPr>
          <w:rFonts w:hint="eastAsia" w:ascii="宋体" w:hAnsi="宋体"/>
          <w:color w:val="auto"/>
          <w:sz w:val="21"/>
          <w:szCs w:val="21"/>
          <w:highlight w:val="none"/>
          <w:u w:val="single"/>
        </w:rPr>
        <w:t xml:space="preserve">    按通用条款执行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bookmarkEnd w:id="436"/>
      <w:r/>
      <w:bookmarkEnd w:id="437"/>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13.6 竣工退场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13.6.1 竣工退场</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承包人完成竣工退场的期限：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竣工验收合格后10日内</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b w:val="0"/>
          <w:color w:val="auto"/>
          <w:sz w:val="21"/>
          <w:szCs w:val="21"/>
          <w:highlight w:val="none"/>
        </w:rPr>
      </w:pPr>
      <w:r/>
      <w:bookmarkStart w:id="439" w:name="_Toc351203646"/>
      <w:r>
        <w:rPr>
          <w:rFonts w:ascii="宋体" w:hAnsi="宋体"/>
          <w:b w:val="0"/>
          <w:color w:val="auto"/>
          <w:sz w:val="21"/>
          <w:szCs w:val="21"/>
          <w:highlight w:val="none"/>
        </w:rPr>
        <w:t xml:space="preserve">14. 竣工结算</w:t>
      </w:r>
      <w:bookmarkEnd w:id="439"/>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14.1 竣工付款申请</w:t>
      </w:r>
      <w:r/>
    </w:p>
    <w:p>
      <w:pPr>
        <w:pStyle w:val="1132"/>
        <w:ind w:firstLine="420"/>
        <w:pageBreakBefore w:val="0"/>
        <w:spacing w:line="360" w:lineRule="auto"/>
        <w:rPr>
          <w:rFonts w:ascii="宋体" w:hAnsi="宋体" w:cs="宋体"/>
          <w:b/>
          <w:bCs/>
          <w:color w:val="auto"/>
          <w:sz w:val="21"/>
          <w:szCs w:val="21"/>
          <w:highlight w:val="none"/>
          <w:u w:val="single"/>
        </w:rPr>
      </w:pPr>
      <w:r>
        <w:rPr>
          <w:rFonts w:ascii="宋体" w:hAnsi="宋体"/>
          <w:color w:val="auto"/>
          <w:sz w:val="21"/>
          <w:szCs w:val="21"/>
          <w:highlight w:val="none"/>
        </w:rPr>
        <w:t xml:space="preserve">承包人提交竣工付款申请单的期限：</w:t>
      </w:r>
      <w:r>
        <w:rPr>
          <w:rFonts w:hint="eastAsia" w:ascii="宋体" w:hAnsi="宋体"/>
          <w:color w:val="auto"/>
          <w:sz w:val="21"/>
          <w:szCs w:val="21"/>
          <w:highlight w:val="none"/>
          <w:u w:val="single"/>
        </w:rPr>
        <w:t xml:space="preserve">按通用条款执行</w:t>
      </w:r>
      <w:r>
        <w:rPr>
          <w:rFonts w:ascii="宋体" w:hAnsi="宋体" w:cs="宋体"/>
          <w:b/>
          <w:bCs/>
          <w:color w:val="auto"/>
          <w:sz w:val="21"/>
          <w:szCs w:val="21"/>
          <w:highlight w:val="none"/>
          <w:u w:val="single"/>
        </w:rPr>
        <w:t xml:space="preserve"> 。</w:t>
      </w:r>
      <w:r/>
    </w:p>
    <w:p>
      <w:pPr>
        <w:pStyle w:val="1132"/>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竣工付款申请单应包括的内容：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按通用条款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14.2 竣工结算审核</w:t>
      </w:r>
      <w:r/>
    </w:p>
    <w:p>
      <w:pPr>
        <w:pStyle w:val="1132"/>
        <w:ind w:firstLine="420"/>
        <w:pageBreakBefore w:val="0"/>
        <w:spacing w:line="360" w:lineRule="auto"/>
        <w:rPr>
          <w:rFonts w:ascii="宋体" w:hAnsi="宋体" w:cs="宋体"/>
          <w:b/>
          <w:bCs/>
          <w:color w:val="auto"/>
          <w:sz w:val="21"/>
          <w:szCs w:val="21"/>
          <w:highlight w:val="none"/>
          <w:u w:val="single"/>
        </w:rPr>
      </w:pPr>
      <w:r>
        <w:rPr>
          <w:rFonts w:ascii="宋体" w:hAnsi="宋体"/>
          <w:color w:val="auto"/>
          <w:sz w:val="21"/>
          <w:szCs w:val="21"/>
          <w:highlight w:val="none"/>
        </w:rPr>
        <w:t xml:space="preserve">发包人</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竣工付款申请单的期限：</w:t>
      </w:r>
      <w:r>
        <w:rPr>
          <w:rFonts w:hint="eastAsia" w:ascii="宋体" w:hAnsi="宋体"/>
          <w:color w:val="auto"/>
          <w:sz w:val="21"/>
          <w:szCs w:val="21"/>
          <w:highlight w:val="none"/>
          <w:u w:val="single"/>
        </w:rPr>
        <w:t xml:space="preserve">90天</w:t>
      </w:r>
      <w:r>
        <w:rPr>
          <w:rFonts w:ascii="宋体" w:hAnsi="宋体" w:cs="宋体"/>
          <w:b/>
          <w:bCs/>
          <w:color w:val="auto"/>
          <w:sz w:val="21"/>
          <w:szCs w:val="21"/>
          <w:highlight w:val="none"/>
          <w:u w:val="singl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发包人完成竣工付款的期限：</w:t>
      </w:r>
      <w:r>
        <w:rPr>
          <w:rFonts w:hint="eastAsia" w:ascii="宋体" w:hAnsi="宋体"/>
          <w:color w:val="auto"/>
          <w:sz w:val="21"/>
          <w:szCs w:val="21"/>
          <w:highlight w:val="none"/>
          <w:u w:val="single"/>
        </w:rPr>
        <w:t xml:space="preserve">按12.4条款执行</w:t>
      </w:r>
      <w:r>
        <w:rPr>
          <w:rFonts w:ascii="宋体" w:hAnsi="宋体"/>
          <w:color w:val="auto"/>
          <w:sz w:val="21"/>
          <w:szCs w:val="21"/>
          <w:highlight w:val="none"/>
        </w:rPr>
        <w:t xml:space="preserve">。</w:t>
      </w:r>
      <w:r/>
    </w:p>
    <w:p>
      <w:pPr>
        <w:pStyle w:val="1132"/>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关于竣工付款证书异议部分复核的方式和程序：</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14.4 最终结清</w:t>
      </w:r>
      <w:bookmarkEnd w:id="426"/>
      <w:r/>
      <w:bookmarkEnd w:id="427"/>
      <w:r/>
      <w:bookmarkEnd w:id="428"/>
      <w:r/>
      <w:bookmarkEnd w:id="429"/>
      <w:r/>
      <w:bookmarkEnd w:id="430"/>
      <w:r/>
      <w:bookmarkEnd w:id="431"/>
      <w:r/>
      <w:bookmarkEnd w:id="432"/>
      <w:r/>
      <w:bookmarkEnd w:id="438"/>
      <w:r/>
      <w:r/>
    </w:p>
    <w:p>
      <w:pPr>
        <w:pStyle w:val="1132"/>
        <w:ind w:firstLine="420"/>
        <w:pageBreakBefore w:val="0"/>
        <w:spacing w:line="360" w:lineRule="auto"/>
        <w:rPr>
          <w:rFonts w:ascii="宋体" w:hAnsi="宋体"/>
          <w:color w:val="auto"/>
          <w:sz w:val="21"/>
          <w:szCs w:val="21"/>
          <w:highlight w:val="none"/>
        </w:rPr>
      </w:pPr>
      <w:r/>
      <w:bookmarkStart w:id="440" w:name="_Toc351203647"/>
      <w:r/>
      <w:bookmarkStart w:id="441" w:name="_Toc267251483"/>
      <w:r/>
      <w:bookmarkStart w:id="442" w:name="_Toc267251482"/>
      <w:r/>
      <w:bookmarkStart w:id="443" w:name="_Toc267251484"/>
      <w:r/>
      <w:bookmarkStart w:id="444" w:name="_Toc267251485"/>
      <w:r/>
      <w:bookmarkStart w:id="445" w:name="_Toc267251488"/>
      <w:r/>
      <w:bookmarkStart w:id="446" w:name="_Toc267251486"/>
      <w:r/>
      <w:bookmarkStart w:id="447" w:name="_Toc267251489"/>
      <w:r/>
      <w:bookmarkStart w:id="448" w:name="_Toc267251490"/>
      <w:r/>
      <w:bookmarkStart w:id="449" w:name="_Toc267251499"/>
      <w:r/>
      <w:bookmarkStart w:id="450" w:name="_Toc267251496"/>
      <w:r/>
      <w:bookmarkStart w:id="451" w:name="_Toc267251492"/>
      <w:r/>
      <w:bookmarkStart w:id="452" w:name="_Toc267251494"/>
      <w:r/>
      <w:bookmarkStart w:id="453" w:name="_Toc267251497"/>
      <w:r/>
      <w:bookmarkStart w:id="454" w:name="_Toc267251506"/>
      <w:r/>
      <w:bookmarkStart w:id="455" w:name="_Toc267251502"/>
      <w:r/>
      <w:bookmarkStart w:id="456" w:name="_Toc267251491"/>
      <w:r/>
      <w:bookmarkStart w:id="457" w:name="_Toc267251493"/>
      <w:r/>
      <w:bookmarkStart w:id="458" w:name="_Toc267251495"/>
      <w:r/>
      <w:bookmarkStart w:id="459" w:name="_Toc267251504"/>
      <w:r/>
      <w:bookmarkStart w:id="460" w:name="_Toc267251498"/>
      <w:r/>
      <w:bookmarkStart w:id="461" w:name="_Toc267251503"/>
      <w:r/>
      <w:bookmarkStart w:id="462" w:name="_Toc267251501"/>
      <w:r/>
      <w:bookmarkStart w:id="463" w:name="_Toc267251507"/>
      <w:r/>
      <w:bookmarkStart w:id="464" w:name="_Toc267251508"/>
      <w:r/>
      <w:bookmarkStart w:id="465" w:name="_Toc267251511"/>
      <w:r/>
      <w:bookmarkStart w:id="466" w:name="_Toc267251509"/>
      <w:r/>
      <w:bookmarkStart w:id="467" w:name="_Toc267251515"/>
      <w:r/>
      <w:bookmarkStart w:id="468" w:name="_Toc267251510"/>
      <w:r/>
      <w:bookmarkStart w:id="469" w:name="_Toc267251514"/>
      <w:r/>
      <w:bookmarkStart w:id="470" w:name="_Toc267251513"/>
      <w:r>
        <w:rPr>
          <w:rFonts w:ascii="宋体" w:hAnsi="宋体"/>
          <w:color w:val="auto"/>
          <w:sz w:val="21"/>
          <w:szCs w:val="21"/>
          <w:highlight w:val="none"/>
        </w:rPr>
        <w:t xml:space="preserve">14.4.1 最终结清申请单</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承包人提交最终结清申请单的份数：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承包人提交最终结算申请单的期限：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14.4.2 最终结清证书和支付</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（1）发包人完成最终结清申请单的</w:t>
      </w:r>
      <w:r>
        <w:rPr>
          <w:rFonts w:hint="eastAsia" w:ascii="宋体" w:hAnsi="宋体"/>
          <w:color w:val="auto"/>
          <w:sz w:val="21"/>
          <w:szCs w:val="21"/>
          <w:highlight w:val="none"/>
        </w:rPr>
        <w:t xml:space="preserve">审批</w:t>
      </w:r>
      <w:r>
        <w:rPr>
          <w:rFonts w:ascii="宋体" w:hAnsi="宋体"/>
          <w:color w:val="auto"/>
          <w:sz w:val="21"/>
          <w:szCs w:val="21"/>
          <w:highlight w:val="none"/>
        </w:rPr>
        <w:t xml:space="preserve">并颁发最终结清证书的期限：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b w:val="0"/>
          <w:bCs w:val="0"/>
          <w:color w:val="auto"/>
          <w:sz w:val="21"/>
          <w:szCs w:val="21"/>
          <w:highlight w:val="none"/>
        </w:rPr>
        <w:t xml:space="preserve">（2）发包人完成支付的期限：</w:t>
      </w:r>
      <w:r>
        <w:rPr>
          <w:rFonts w:hint="eastAsia" w:ascii="宋体" w:hAnsi="宋体"/>
          <w:b w:val="0"/>
          <w:bCs w:val="0"/>
          <w:color w:val="auto"/>
          <w:sz w:val="21"/>
          <w:szCs w:val="21"/>
          <w:highlight w:val="none"/>
          <w:u w:val="single"/>
        </w:rPr>
        <w:t xml:space="preserve">  颁发最终结清证书后14天内完成支付  。</w:t>
      </w:r>
      <w:r/>
    </w:p>
    <w:p>
      <w:pPr>
        <w:pStyle w:val="1163"/>
        <w:pageBreakBefore w:val="0"/>
        <w:spacing w:before="0" w:after="0" w:line="360" w:lineRule="auto"/>
        <w:rPr>
          <w:rFonts w:ascii="宋体" w:hAnsi="宋体"/>
          <w:b w:val="0"/>
          <w:color w:val="auto"/>
          <w:sz w:val="21"/>
          <w:szCs w:val="21"/>
          <w:highlight w:val="none"/>
        </w:rPr>
      </w:pPr>
      <w:r>
        <w:rPr>
          <w:rFonts w:hint="eastAsia" w:ascii="宋体" w:hAnsi="宋体"/>
          <w:b w:val="0"/>
          <w:color w:val="auto"/>
          <w:sz w:val="21"/>
          <w:szCs w:val="21"/>
          <w:highlight w:val="none"/>
        </w:rPr>
        <w:t xml:space="preserve">   </w:t>
      </w:r>
      <w:r>
        <w:rPr>
          <w:rFonts w:ascii="宋体" w:hAnsi="宋体"/>
          <w:b w:val="0"/>
          <w:color w:val="auto"/>
          <w:sz w:val="21"/>
          <w:szCs w:val="21"/>
          <w:highlight w:val="none"/>
        </w:rPr>
        <w:t xml:space="preserve">15. 缺陷责任期与保修</w:t>
      </w:r>
      <w:bookmarkEnd w:id="440"/>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15.2缺陷责任期</w:t>
      </w:r>
      <w:bookmarkEnd w:id="441"/>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缺陷责任期的具体期限：</w:t>
      </w:r>
      <w:r>
        <w:rPr>
          <w:rFonts w:hint="eastAsia" w:ascii="宋体" w:hAnsi="宋体"/>
          <w:color w:val="auto"/>
          <w:sz w:val="21"/>
          <w:szCs w:val="21"/>
          <w:highlight w:val="none"/>
          <w:u w:val="single"/>
        </w:rPr>
        <w:t xml:space="preserve"> 自实际竣工验收合格日期起计算，24个月。</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15.3 质量保证金</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关于是否扣留质量保证金的约定：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是，工程质量保修金为工程审定价总额的3%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15.3.1 </w:t>
      </w:r>
      <w:r>
        <w:rPr>
          <w:rFonts w:hint="eastAsia" w:ascii="宋体" w:hAnsi="宋体"/>
          <w:color w:val="auto"/>
          <w:sz w:val="21"/>
          <w:szCs w:val="21"/>
          <w:highlight w:val="none"/>
        </w:rPr>
        <w:t xml:space="preserve">承包人提供</w:t>
      </w:r>
      <w:r>
        <w:rPr>
          <w:rFonts w:ascii="宋体" w:hAnsi="宋体"/>
          <w:color w:val="auto"/>
          <w:sz w:val="21"/>
          <w:szCs w:val="21"/>
          <w:highlight w:val="none"/>
        </w:rPr>
        <w:t xml:space="preserve">质量保证金的</w:t>
      </w:r>
      <w:r>
        <w:rPr>
          <w:rFonts w:hint="eastAsia" w:ascii="宋体" w:hAnsi="宋体"/>
          <w:color w:val="auto"/>
          <w:sz w:val="21"/>
          <w:szCs w:val="21"/>
          <w:highlight w:val="none"/>
        </w:rPr>
        <w:t xml:space="preserve">方</w:t>
      </w:r>
      <w:r>
        <w:rPr>
          <w:rFonts w:ascii="宋体" w:hAnsi="宋体"/>
          <w:color w:val="auto"/>
          <w:sz w:val="21"/>
          <w:szCs w:val="21"/>
          <w:highlight w:val="none"/>
        </w:rPr>
        <w:t xml:space="preserve">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质量保证金采用以下第</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2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种方式：</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（1）质量保证金保函，保证金额为：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3</w:t>
      </w:r>
      <w:r>
        <w:rPr>
          <w:rFonts w:ascii="宋体" w:hAnsi="宋体"/>
          <w:color w:val="auto"/>
          <w:sz w:val="21"/>
          <w:szCs w:val="21"/>
          <w:highlight w:val="none"/>
          <w:u w:val="single"/>
        </w:rPr>
        <w:t xml:space="preserve"> </w:t>
      </w:r>
      <w:r>
        <w:rPr>
          <w:rFonts w:ascii="宋体" w:hAnsi="宋体"/>
          <w:color w:val="auto"/>
          <w:sz w:val="21"/>
          <w:szCs w:val="21"/>
          <w:highlight w:val="none"/>
        </w:rPr>
        <w:t xml:space="preserve">%的工程款；</w:t>
      </w:r>
      <w:r/>
    </w:p>
    <w:p>
      <w:pPr>
        <w:pStyle w:val="1132"/>
        <w:ind w:firstLine="420"/>
        <w:pageBreakBefore w:val="0"/>
        <w:spacing w:line="360" w:lineRule="auto"/>
        <w:rPr>
          <w:rFonts w:ascii="宋体" w:hAnsi="宋体" w:cs="宋体"/>
          <w:b/>
          <w:bCs/>
          <w:color w:val="auto"/>
          <w:sz w:val="21"/>
          <w:szCs w:val="21"/>
          <w:highlight w:val="none"/>
          <w:u w:val="single"/>
        </w:rPr>
      </w:pPr>
      <w:r>
        <w:rPr>
          <w:rFonts w:ascii="宋体" w:hAnsi="宋体"/>
          <w:color w:val="auto"/>
          <w:sz w:val="21"/>
          <w:szCs w:val="21"/>
          <w:highlight w:val="none"/>
        </w:rPr>
        <w:t xml:space="preserve">（3）其他</w:t>
      </w:r>
      <w:r>
        <w:rPr>
          <w:rFonts w:hint="eastAsia" w:ascii="宋体" w:hAnsi="宋体"/>
          <w:color w:val="auto"/>
          <w:sz w:val="21"/>
          <w:szCs w:val="21"/>
          <w:highlight w:val="none"/>
        </w:rPr>
        <w:t xml:space="preserve">方</w:t>
      </w:r>
      <w:r>
        <w:rPr>
          <w:rFonts w:ascii="宋体" w:hAnsi="宋体"/>
          <w:color w:val="auto"/>
          <w:sz w:val="21"/>
          <w:szCs w:val="21"/>
          <w:highlight w:val="none"/>
        </w:rPr>
        <w:t xml:space="preserve">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15.3.2 质量保证金的扣留 </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质量保证金的扣留采取以下第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方式1：在支付工程进度款时逐次扣留，在此情形下，质量保证金的计算基数不包括预付款的支付、扣回以及价格调整的金额；</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方式2：工程竣工结算时一次性扣留质量保证金；</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方式3：其他扣留方式: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关于质量保证金的补充约定：</w:t>
      </w:r>
      <w:r>
        <w:rPr>
          <w:rFonts w:hint="eastAsia" w:ascii="宋体" w:hAnsi="宋体" w:cs="宋体"/>
          <w:color w:val="auto"/>
          <w:sz w:val="21"/>
          <w:szCs w:val="21"/>
          <w:highlight w:val="none"/>
          <w:u w:val="single"/>
        </w:rPr>
        <w:t xml:space="preserve">   质保期满后，如无问题，一次性退还  。</w:t>
      </w:r>
      <w:bookmarkEnd w:id="442"/>
      <w:r/>
      <w:bookmarkEnd w:id="443"/>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15.4保修</w:t>
      </w:r>
      <w:bookmarkEnd w:id="444"/>
      <w:r/>
      <w:r/>
    </w:p>
    <w:p>
      <w:pPr>
        <w:pStyle w:val="1132"/>
        <w:ind w:firstLine="409"/>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15.4.1 保修责任</w:t>
      </w:r>
      <w:r/>
    </w:p>
    <w:p>
      <w:pPr>
        <w:pStyle w:val="1132"/>
        <w:ind w:firstLine="409"/>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工程保修期为：</w:t>
      </w:r>
      <w:r>
        <w:rPr>
          <w:rFonts w:hint="eastAsia" w:ascii="宋体" w:hAnsi="宋体" w:cs="宋体"/>
          <w:color w:val="auto"/>
          <w:sz w:val="21"/>
          <w:szCs w:val="21"/>
          <w:highlight w:val="none"/>
          <w:u w:val="single"/>
        </w:rPr>
        <w:t xml:space="preserve">    详见附件《工程质量保修书》</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32"/>
        <w:ind w:firstLine="409"/>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15.4.3 修复通知</w:t>
      </w:r>
      <w:r/>
    </w:p>
    <w:p>
      <w:pPr>
        <w:pStyle w:val="1132"/>
        <w:ind w:firstLine="409"/>
        <w:pageBreakBefore w:val="0"/>
        <w:spacing w:line="360" w:lineRule="auto"/>
        <w:rPr>
          <w:rFonts w:ascii="宋体" w:hAnsi="宋体" w:cs="宋体"/>
          <w:b/>
          <w:bCs/>
          <w:color w:val="auto"/>
          <w:sz w:val="21"/>
          <w:szCs w:val="21"/>
          <w:highlight w:val="none"/>
          <w:u w:val="single"/>
        </w:rPr>
      </w:pPr>
      <w:r>
        <w:rPr>
          <w:rFonts w:hint="eastAsia" w:ascii="宋体" w:hAnsi="宋体" w:cs="宋体"/>
          <w:color w:val="auto"/>
          <w:sz w:val="21"/>
          <w:szCs w:val="21"/>
          <w:highlight w:val="none"/>
        </w:rPr>
        <w:t xml:space="preserve">承包人收到保修通知并到达工程现场的合理时间：</w:t>
      </w:r>
      <w:r>
        <w:rPr>
          <w:rFonts w:hint="eastAsia" w:ascii="宋体" w:hAnsi="宋体" w:cs="宋体"/>
          <w:color w:val="auto"/>
          <w:sz w:val="21"/>
          <w:szCs w:val="21"/>
          <w:highlight w:val="none"/>
          <w:u w:val="single"/>
        </w:rPr>
        <w:t xml:space="preserve"> 按通用条款执行</w:t>
      </w:r>
      <w:r>
        <w:rPr>
          <w:rFonts w:hint="eastAsia" w:ascii="宋体" w:hAnsi="宋体" w:cs="宋体"/>
          <w:bCs/>
          <w:color w:val="auto"/>
          <w:sz w:val="21"/>
          <w:szCs w:val="21"/>
          <w:highlight w:val="none"/>
          <w:u w:val="single"/>
        </w:rPr>
        <w:t xml:space="preserve">。</w:t>
      </w:r>
      <w:bookmarkEnd w:id="445"/>
      <w:r/>
      <w:bookmarkEnd w:id="446"/>
      <w:r/>
      <w:bookmarkEnd w:id="447"/>
      <w:r/>
      <w:bookmarkEnd w:id="448"/>
      <w:r/>
      <w:r/>
    </w:p>
    <w:p>
      <w:pPr>
        <w:pStyle w:val="1163"/>
        <w:pageBreakBefore w:val="0"/>
        <w:spacing w:before="0" w:after="0" w:line="360" w:lineRule="auto"/>
        <w:rPr>
          <w:rFonts w:ascii="宋体" w:hAnsi="宋体"/>
          <w:b w:val="0"/>
          <w:color w:val="auto"/>
          <w:sz w:val="21"/>
          <w:szCs w:val="21"/>
          <w:highlight w:val="none"/>
        </w:rPr>
      </w:pPr>
      <w:r/>
      <w:bookmarkStart w:id="471" w:name="_Toc351203648"/>
      <w:r/>
      <w:bookmarkStart w:id="472" w:name="_Toc351203649"/>
      <w:r/>
      <w:bookmarkStart w:id="473" w:name="_Toc280868717"/>
      <w:r/>
      <w:bookmarkStart w:id="474" w:name="_Toc280868718"/>
      <w:r>
        <w:rPr>
          <w:rFonts w:ascii="宋体" w:hAnsi="宋体"/>
          <w:b w:val="0"/>
          <w:color w:val="auto"/>
          <w:sz w:val="21"/>
          <w:szCs w:val="21"/>
          <w:highlight w:val="none"/>
        </w:rPr>
        <w:t xml:space="preserve">16. 违约</w:t>
      </w:r>
      <w:bookmarkEnd w:id="471"/>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16.1 发包人违约</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16.1.1发包人违约的情形</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发包人违约的其他情形：</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left="1050" w:hanging="105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16.1.2 发包人违约的责任</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发包人违约责任的承担方式和计算方法：</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（1）因发包人原因未能在计划开工日期前7天内下达开工通知的违约责任：</w:t>
      </w:r>
      <w:r>
        <w:rPr>
          <w:rFonts w:hint="eastAsia" w:ascii="宋体" w:hAnsi="宋体"/>
          <w:color w:val="auto"/>
          <w:sz w:val="21"/>
          <w:szCs w:val="21"/>
          <w:highlight w:val="none"/>
          <w:u w:val="single"/>
        </w:rPr>
        <w:t xml:space="preserve">工期予以顺延  </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（2）因发包人原因未能按合同约定支付合同价款的违约责任：</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（3）发包人违反第10.1款</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变更的范围</w:t>
      </w:r>
      <w:r>
        <w:rPr>
          <w:rFonts w:hint="eastAsia" w:ascii="宋体" w:hAnsi="宋体"/>
          <w:color w:val="auto"/>
          <w:sz w:val="21"/>
          <w:szCs w:val="21"/>
          <w:highlight w:val="none"/>
        </w:rPr>
        <w:t xml:space="preserve">〕</w:t>
      </w:r>
      <w:r>
        <w:rPr>
          <w:rFonts w:ascii="宋体" w:hAnsi="宋体"/>
          <w:color w:val="auto"/>
          <w:sz w:val="21"/>
          <w:szCs w:val="21"/>
          <w:highlight w:val="none"/>
        </w:rPr>
        <w:t xml:space="preserve">第（2）项约定，自行实施被取消的工作或转由他人实施的违约责任：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工期顺延</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（5）因发包人违反合同约定造成暂停施工的违约责任：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（6）发包人无正当理由没有在约定期限内发出复工指示，导致承包人无法复工的违约责任：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其他：</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16.1.3 因发包人违约解除合同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承包人按16.1.1项</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发包人违约的情形</w:t>
      </w:r>
      <w:r>
        <w:rPr>
          <w:rFonts w:hint="eastAsia" w:ascii="宋体" w:hAnsi="宋体"/>
          <w:color w:val="auto"/>
          <w:sz w:val="21"/>
          <w:szCs w:val="21"/>
          <w:highlight w:val="none"/>
        </w:rPr>
        <w:t xml:space="preserve">〕</w:t>
      </w:r>
      <w:r>
        <w:rPr>
          <w:rFonts w:ascii="宋体" w:hAnsi="宋体"/>
          <w:color w:val="auto"/>
          <w:sz w:val="21"/>
          <w:szCs w:val="21"/>
          <w:highlight w:val="none"/>
        </w:rPr>
        <w:t xml:space="preserve">约定暂停施工满</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56</w:t>
      </w:r>
      <w:r>
        <w:rPr>
          <w:rFonts w:ascii="宋体" w:hAnsi="宋体"/>
          <w:color w:val="auto"/>
          <w:sz w:val="21"/>
          <w:szCs w:val="21"/>
          <w:highlight w:val="none"/>
        </w:rPr>
        <w:t xml:space="preserve">天后发包人仍不纠正其违约行为并致使合同目的不能实现的，承包人有权解除合同。</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16.2 承包人违约</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16.2.1 承包人违约的情形</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承包人违约的其他情形：</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16.2.2承包人违约的责任</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承包人违约责任的承担方式和计算方法：</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支付违约金，除专用条款已约定的内容，其他情形违约金的具体金额由发包人和监理人商定</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注：当承包人未按时支付农民工工资时，发包人有权从应付工程款中扣除，且承包人需承担由于拖欠农民工工资造成的一切损失并支付违约金。</w:t>
      </w:r>
      <w:r>
        <w:rPr>
          <w:rFonts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16.2.3 因承包人违约解除合同</w:t>
      </w:r>
      <w:r/>
    </w:p>
    <w:p>
      <w:pPr>
        <w:pStyle w:val="1132"/>
        <w:ind w:firstLine="420"/>
        <w:pageBreakBefore w:val="0"/>
        <w:spacing w:line="360" w:lineRule="auto"/>
        <w:rPr>
          <w:rFonts w:ascii="宋体" w:hAnsi="宋体"/>
          <w:b/>
          <w:bCs/>
          <w:color w:val="auto"/>
          <w:sz w:val="21"/>
          <w:szCs w:val="21"/>
          <w:highlight w:val="none"/>
          <w:u w:val="single"/>
        </w:rPr>
      </w:pPr>
      <w:r>
        <w:rPr>
          <w:rFonts w:hint="eastAsia" w:ascii="宋体" w:hAnsi="宋体"/>
          <w:color w:val="auto"/>
          <w:sz w:val="21"/>
          <w:szCs w:val="21"/>
          <w:highlight w:val="none"/>
        </w:rPr>
        <w:t xml:space="preserve">关于承包人违约解除合同的特别约定：</w:t>
      </w:r>
      <w:r>
        <w:rPr>
          <w:rFonts w:hint="eastAsia" w:ascii="宋体" w:hAnsi="宋体"/>
          <w:b/>
          <w:bCs/>
          <w:color w:val="auto"/>
          <w:sz w:val="21"/>
          <w:szCs w:val="21"/>
          <w:highlight w:val="none"/>
          <w:u w:val="single"/>
        </w:rPr>
        <w:t xml:space="preserve">承包人项目负责人累计10天不在现场，或备案的本项目施工现场人员不能到场履行职责累计达15天，发包人将有权解除合同，承包人承担赔偿发包人的一切损失。</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olor w:val="auto"/>
          <w:sz w:val="21"/>
          <w:szCs w:val="21"/>
          <w:highlight w:val="none"/>
          <w:u w:val="single"/>
        </w:rPr>
        <w:t xml:space="preserve"> 材料、设备按承包人投标文件中的价格，与清算的工程款一并支付；其他无条件免费由发包人使用 </w:t>
      </w:r>
      <w:r>
        <w:rPr>
          <w:rFonts w:hint="eastAsia" w:ascii="宋体" w:hAnsi="宋体"/>
          <w:color w:val="auto"/>
          <w:sz w:val="21"/>
          <w:szCs w:val="21"/>
          <w:highlight w:val="none"/>
        </w:rPr>
        <w:t xml:space="preserve">。</w:t>
      </w:r>
      <w:r/>
    </w:p>
    <w:p>
      <w:pPr>
        <w:pStyle w:val="1163"/>
        <w:pageBreakBefore w:val="0"/>
        <w:spacing w:before="0" w:after="0" w:line="360" w:lineRule="auto"/>
        <w:rPr>
          <w:rFonts w:ascii="宋体" w:hAnsi="宋体" w:cs="宋体"/>
          <w:b w:val="0"/>
          <w:color w:val="auto"/>
          <w:sz w:val="21"/>
          <w:szCs w:val="21"/>
          <w:highlight w:val="none"/>
        </w:rPr>
      </w:pPr>
      <w:r>
        <w:rPr>
          <w:rFonts w:hint="eastAsia" w:ascii="宋体" w:hAnsi="宋体" w:cs="宋体"/>
          <w:b w:val="0"/>
          <w:color w:val="auto"/>
          <w:sz w:val="21"/>
          <w:szCs w:val="21"/>
          <w:highlight w:val="none"/>
        </w:rPr>
        <w:t xml:space="preserve">17. 不可抗力</w:t>
      </w:r>
      <w:bookmarkEnd w:id="472"/>
      <w:r>
        <w:rPr>
          <w:rFonts w:hint="eastAsia" w:ascii="宋体" w:hAnsi="宋体" w:cs="宋体"/>
          <w:b w:val="0"/>
          <w:color w:val="auto"/>
          <w:sz w:val="21"/>
          <w:szCs w:val="21"/>
          <w:highlight w:val="none"/>
        </w:rPr>
        <w:t xml:space="preserve"> </w:t>
      </w:r>
      <w:bookmarkEnd w:id="473"/>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 不可抗力的确认</w:t>
      </w:r>
      <w:r/>
    </w:p>
    <w:p>
      <w:pPr>
        <w:pStyle w:val="1132"/>
        <w:ind w:firstLine="420"/>
        <w:pageBreakBefore w:val="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除通用合同条款约定的不可抗力事件之外，视为不可抗力的其他情形：</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17.4 因不可抗力解除合同</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合同解除后，发包人应在商定或确定发包人应支付款项后</w:t>
      </w:r>
      <w:r>
        <w:rPr>
          <w:rFonts w:hint="eastAsia" w:ascii="宋体" w:hAnsi="宋体" w:cs="宋体"/>
          <w:color w:val="auto"/>
          <w:sz w:val="21"/>
          <w:szCs w:val="21"/>
          <w:highlight w:val="none"/>
          <w:u w:val="single"/>
        </w:rPr>
        <w:t xml:space="preserve"> 28 </w:t>
      </w:r>
      <w:r>
        <w:rPr>
          <w:rFonts w:hint="eastAsia" w:ascii="宋体" w:hAnsi="宋体" w:cs="宋体"/>
          <w:color w:val="auto"/>
          <w:sz w:val="21"/>
          <w:szCs w:val="21"/>
          <w:highlight w:val="none"/>
        </w:rPr>
        <w:t xml:space="preserve">天内完成款项的支付。</w:t>
      </w:r>
      <w:r/>
    </w:p>
    <w:p>
      <w:pPr>
        <w:pStyle w:val="1163"/>
        <w:pageBreakBefore w:val="0"/>
        <w:spacing w:before="0" w:after="0" w:line="360" w:lineRule="auto"/>
        <w:rPr>
          <w:rFonts w:ascii="宋体" w:hAnsi="宋体"/>
          <w:b w:val="0"/>
          <w:color w:val="auto"/>
          <w:sz w:val="21"/>
          <w:szCs w:val="21"/>
          <w:highlight w:val="none"/>
        </w:rPr>
      </w:pPr>
      <w:r/>
      <w:bookmarkStart w:id="475" w:name="_Toc351203650"/>
      <w:r>
        <w:rPr>
          <w:rFonts w:ascii="宋体" w:hAnsi="宋体"/>
          <w:b w:val="0"/>
          <w:color w:val="auto"/>
          <w:sz w:val="21"/>
          <w:szCs w:val="21"/>
          <w:highlight w:val="none"/>
        </w:rPr>
        <w:t xml:space="preserve">18. 保险</w:t>
      </w:r>
      <w:bookmarkEnd w:id="475"/>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18.1 工程保险</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关于工程保险的特别约定：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按江苏省及扬州市相关规定，应由承包人缴纳的保险必须按时依法办理</w:t>
      </w:r>
      <w:r>
        <w:rPr>
          <w:rFonts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18.3 其他保险</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关于其他保险的约定：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按江苏省及扬州市相关规定，应由承包人缴纳的保险必须按时依法办理</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承包人是否应为其施工设备等办理财产保险：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应该办理</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承包人是否应为从事危险作业的职工办理意外伤害保险：</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应该办理</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18.7 通知义务</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关于变更保险合同时的通知义务的约定：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63"/>
        <w:pageBreakBefore w:val="0"/>
        <w:spacing w:before="0" w:after="0" w:line="360" w:lineRule="auto"/>
        <w:rPr>
          <w:rFonts w:ascii="宋体" w:hAnsi="宋体"/>
          <w:b w:val="0"/>
          <w:color w:val="auto"/>
          <w:sz w:val="21"/>
          <w:szCs w:val="21"/>
          <w:highlight w:val="none"/>
        </w:rPr>
      </w:pPr>
      <w:r/>
      <w:bookmarkStart w:id="476" w:name="_Toc351203651"/>
      <w:r>
        <w:rPr>
          <w:rFonts w:ascii="宋体" w:hAnsi="宋体"/>
          <w:b w:val="0"/>
          <w:color w:val="auto"/>
          <w:sz w:val="21"/>
          <w:szCs w:val="21"/>
          <w:highlight w:val="none"/>
        </w:rPr>
        <w:t xml:space="preserve">20. 争议解决</w:t>
      </w:r>
      <w:bookmarkEnd w:id="476"/>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20.3 争议评审</w:t>
      </w:r>
      <w:r/>
    </w:p>
    <w:p>
      <w:pPr>
        <w:pStyle w:val="1132"/>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合同当事人是否同意将工程争议提交争议评审小组决</w:t>
      </w:r>
      <w:r>
        <w:rPr>
          <w:rFonts w:hint="eastAsia" w:ascii="宋体" w:hAnsi="宋体"/>
          <w:color w:val="auto"/>
          <w:sz w:val="21"/>
          <w:szCs w:val="21"/>
          <w:highlight w:val="none"/>
        </w:rPr>
        <w:t xml:space="preserve">定：</w:t>
      </w:r>
      <w:r>
        <w:rPr>
          <w:rFonts w:hint="eastAsia" w:ascii="宋体" w:hAnsi="宋体"/>
          <w:color w:val="auto"/>
          <w:sz w:val="21"/>
          <w:szCs w:val="21"/>
          <w:highlight w:val="none"/>
          <w:u w:val="single"/>
        </w:rPr>
        <w:t xml:space="preserve"> 同意  </w:t>
      </w:r>
      <w:r>
        <w:rPr>
          <w:rFonts w:hint="eastAsia" w:ascii="宋体" w:hAnsi="宋体"/>
          <w:color w:val="auto"/>
          <w:sz w:val="21"/>
          <w:szCs w:val="21"/>
          <w:highlight w:val="none"/>
        </w:rPr>
        <w:t xml:space="preserve">。  </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20.3.1 争议评审小组的确定</w:t>
      </w:r>
      <w:r/>
    </w:p>
    <w:p>
      <w:pPr>
        <w:pStyle w:val="1132"/>
        <w:ind w:firstLine="42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争议评审小组成员的确定：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选定争议评审员的期限：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争议评审小组成员的报酬承担方式：</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其他事项的约定：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20.3.2 争议评审小组的决定</w:t>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合同当事人关于本项的约定：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按通用条款执行</w:t>
      </w:r>
      <w:r>
        <w:rPr>
          <w:rFonts w:ascii="宋体" w:hAnsi="宋体"/>
          <w:color w:val="auto"/>
          <w:sz w:val="21"/>
          <w:szCs w:val="21"/>
          <w:highlight w:val="none"/>
        </w:rPr>
        <w:t xml:space="preserve">。</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74"/>
      <w:r/>
      <w:r/>
    </w:p>
    <w:p>
      <w:pPr>
        <w:pStyle w:val="1132"/>
        <w:ind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20.4仲裁或诉讼</w:t>
      </w:r>
      <w:bookmarkEnd w:id="464"/>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因合同及合同有关事项发生的争议，按下列第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种方式解决：</w:t>
      </w:r>
      <w:r/>
    </w:p>
    <w:p>
      <w:pPr>
        <w:pStyle w:val="1132"/>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（1）向</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仲裁委员会申请仲裁；</w:t>
      </w:r>
      <w:r/>
    </w:p>
    <w:p>
      <w:pPr>
        <w:pStyle w:val="1132"/>
        <w:ind w:firstLine="42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（2）向</w:t>
      </w:r>
      <w:r>
        <w:rPr>
          <w:rFonts w:hint="eastAsia" w:ascii="宋体" w:hAnsi="宋体" w:cs="宋体"/>
          <w:color w:val="auto"/>
          <w:sz w:val="21"/>
          <w:szCs w:val="21"/>
          <w:highlight w:val="none"/>
          <w:u w:val="single"/>
        </w:rPr>
        <w:t xml:space="preserve">    工程所在地   </w:t>
      </w:r>
      <w:r>
        <w:rPr>
          <w:rFonts w:hint="eastAsia" w:ascii="宋体" w:hAnsi="宋体" w:cs="宋体"/>
          <w:color w:val="auto"/>
          <w:sz w:val="21"/>
          <w:szCs w:val="21"/>
          <w:highlight w:val="none"/>
        </w:rPr>
        <w:t xml:space="preserve">人民法院起诉。</w:t>
      </w:r>
      <w:bookmarkEnd w:id="465"/>
      <w:r/>
      <w:bookmarkEnd w:id="466"/>
      <w:r/>
      <w:bookmarkEnd w:id="467"/>
      <w:r/>
      <w:bookmarkEnd w:id="468"/>
      <w:r/>
      <w:bookmarkEnd w:id="469"/>
      <w:r/>
      <w:bookmarkEnd w:id="470"/>
      <w:r/>
      <w:r/>
    </w:p>
    <w:p>
      <w:pPr>
        <w:pStyle w:val="1085"/>
        <w:ind w:left="0" w:right="-29" w:firstLine="422"/>
        <w:pageBreakBefore w:val="0"/>
        <w:spacing w:before="0" w:after="0" w:line="360" w:lineRule="auto"/>
        <w:rPr>
          <w:rFonts w:ascii="宋体" w:hAnsi="宋体"/>
          <w:color w:val="auto"/>
          <w:sz w:val="21"/>
          <w:szCs w:val="21"/>
          <w:highlight w:val="none"/>
        </w:rPr>
      </w:pPr>
      <w:r>
        <w:rPr>
          <w:rFonts w:hint="eastAsia" w:ascii="宋体" w:hAnsi="宋体"/>
          <w:b/>
          <w:color w:val="auto"/>
          <w:sz w:val="21"/>
          <w:szCs w:val="21"/>
          <w:highlight w:val="none"/>
        </w:rPr>
        <w:t xml:space="preserve">补充条款</w:t>
      </w:r>
      <w:r>
        <w:rPr>
          <w:rFonts w:hint="eastAsia" w:ascii="宋体" w:hAnsi="宋体"/>
          <w:color w:val="auto"/>
          <w:sz w:val="21"/>
          <w:szCs w:val="21"/>
          <w:highlight w:val="none"/>
        </w:rPr>
        <w:t xml:space="preserve">：</w:t>
      </w:r>
      <w:r/>
    </w:p>
    <w:p>
      <w:pPr>
        <w:pStyle w:val="1085"/>
        <w:ind w:left="0" w:right="-29" w:firstLine="420"/>
        <w:pageBreakBefore w:val="0"/>
        <w:spacing w:before="0" w:after="0"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（1）承包人项目负责人及现场人员等应严格遵守出勤率，如有违反，招标人一律按合同条款规定进行处罚。</w:t>
      </w:r>
      <w:r/>
    </w:p>
    <w:p>
      <w:pPr>
        <w:pStyle w:val="1039"/>
        <w:ind w:firstLine="420"/>
        <w:pageBreakBefore w:val="0"/>
        <w:spacing w:line="360" w:lineRule="auto"/>
        <w:tabs>
          <w:tab w:val="left" w:pos="900" w:leader="none"/>
        </w:tabs>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（2）清单描述不明确的，以施工图设计文件和相关施工验收规范、图集为准；清单与图纸技术标准不一致的，以较优的技术标准为准；并及时与建设方联系。</w:t>
      </w:r>
      <w:r/>
    </w:p>
    <w:p>
      <w:pPr>
        <w:pStyle w:val="1039"/>
        <w:ind w:firstLine="420"/>
        <w:pageBreakBefore w:val="0"/>
        <w:spacing w:line="360" w:lineRule="auto"/>
        <w:tabs>
          <w:tab w:val="left" w:pos="900" w:leader="none"/>
        </w:tabs>
        <w:rPr>
          <w:rFonts w:hint="eastAsia" w:ascii="宋体" w:hAnsi="宋体" w:cs="宋体"/>
          <w:color w:val="auto"/>
          <w:sz w:val="21"/>
          <w:szCs w:val="21"/>
          <w:highlight w:val="none"/>
          <w:u w:val="single"/>
        </w:rPr>
      </w:pPr>
      <w:r>
        <w:rPr>
          <w:rFonts w:ascii="宋体" w:hAnsi="宋体" w:cs="宋体"/>
          <w:color w:val="auto"/>
          <w:sz w:val="21"/>
          <w:szCs w:val="21"/>
          <w:highlight w:val="none"/>
          <w:u w:val="single"/>
        </w:rPr>
        <w:t xml:space="preserve">（3）</w:t>
      </w:r>
      <w:r>
        <w:rPr>
          <w:rFonts w:hint="eastAsia" w:ascii="宋体" w:hAnsi="宋体" w:cs="宋体"/>
          <w:color w:val="auto"/>
          <w:sz w:val="21"/>
          <w:szCs w:val="21"/>
          <w:highlight w:val="none"/>
          <w:u w:val="single"/>
        </w:rPr>
        <w:t xml:space="preserve">本项目最终审计时，按江都区最新项目审计规定文件执行。</w:t>
      </w:r>
      <w:r/>
    </w:p>
    <w:p>
      <w:pPr>
        <w:pStyle w:val="1063"/>
        <w:ind w:firstLine="422"/>
        <w:jc w:val="left"/>
        <w:pageBreakBefore w:val="0"/>
        <w:spacing w:line="360" w:lineRule="auto"/>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r>
      <w:r/>
    </w:p>
    <w:p>
      <w:pPr>
        <w:pStyle w:val="1039"/>
        <w:ind w:firstLine="420"/>
        <w:pageBreakBefore w:val="0"/>
        <w:spacing w:line="360" w:lineRule="auto"/>
        <w:tabs>
          <w:tab w:val="left" w:pos="900" w:leader="none"/>
        </w:tabs>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r>
      <w:r/>
    </w:p>
    <w:p>
      <w:pPr>
        <w:pStyle w:val="1085"/>
        <w:ind w:left="0" w:right="-29"/>
        <w:pageBreakBefore w:val="0"/>
        <w:spacing w:before="0" w:after="0" w:line="360" w:lineRule="auto"/>
        <w:rPr>
          <w:rFonts w:ascii="宋体" w:hAnsi="宋体"/>
          <w:b/>
          <w:color w:val="auto"/>
          <w:sz w:val="24"/>
          <w:szCs w:val="24"/>
          <w:highlight w:val="none"/>
        </w:rPr>
      </w:pPr>
      <w:r>
        <w:rPr>
          <w:rFonts w:ascii="宋体" w:hAnsi="宋体"/>
          <w:b/>
          <w:color w:val="auto"/>
          <w:sz w:val="24"/>
          <w:szCs w:val="24"/>
          <w:highlight w:val="none"/>
        </w:rPr>
        <w:br w:type="page" w:clear="all"/>
      </w:r>
      <w:r>
        <w:rPr>
          <w:rFonts w:ascii="宋体" w:hAnsi="宋体"/>
          <w:b/>
          <w:color w:val="auto"/>
          <w:sz w:val="24"/>
          <w:szCs w:val="24"/>
          <w:highlight w:val="none"/>
        </w:rPr>
        <w:t xml:space="preserve">附件</w:t>
      </w:r>
      <w:bookmarkEnd w:id="361"/>
      <w:r>
        <w:rPr>
          <w:rFonts w:hint="eastAsia" w:ascii="宋体" w:hAnsi="宋体"/>
          <w:b/>
          <w:color w:val="auto"/>
          <w:sz w:val="24"/>
          <w:szCs w:val="24"/>
          <w:highlight w:val="none"/>
        </w:rPr>
        <w:t xml:space="preserve">1</w:t>
      </w:r>
      <w:r/>
    </w:p>
    <w:p>
      <w:pPr>
        <w:ind w:firstLine="420"/>
        <w:jc w:val="center"/>
        <w:pageBreakBefore w:val="0"/>
        <w:spacing w:before="156" w:after="156"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工程质量保修书（市政公用工程）</w:t>
      </w:r>
      <w:r/>
    </w:p>
    <w:p>
      <w:pPr>
        <w:ind w:firstLine="42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发包人（全称）：</w:t>
      </w:r>
      <w:r>
        <w:rPr>
          <w:rFonts w:hint="eastAsia" w:ascii="宋体" w:hAnsi="宋体" w:cs="宋体"/>
          <w:color w:val="auto"/>
          <w:sz w:val="21"/>
          <w:szCs w:val="21"/>
          <w:highlight w:val="none"/>
          <w:lang w:eastAsia="zh-CN"/>
        </w:rPr>
        <w:t xml:space="preserve">扬州市江都区樊川镇人民政府</w:t>
      </w:r>
      <w:r>
        <w:rPr>
          <w:rFonts w:hint="eastAsia" w:ascii="宋体" w:hAnsi="宋体" w:cs="宋体"/>
          <w:color w:val="auto"/>
          <w:sz w:val="21"/>
          <w:szCs w:val="21"/>
          <w:highlight w:val="none"/>
        </w:rPr>
        <w:t xml:space="preserve">      </w:t>
      </w:r>
      <w:r/>
    </w:p>
    <w:p>
      <w:pPr>
        <w:ind w:firstLine="42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承包人（全称）：                             </w:t>
      </w:r>
      <w:r/>
    </w:p>
    <w:p>
      <w:pPr>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发包人和承包人根据《中华人民共和国建筑法》和《建设工程质量管理条例》，经协商一致就</w:t>
      </w:r>
      <w:r>
        <w:rPr>
          <w:rFonts w:hint="eastAsia" w:ascii="宋体" w:hAnsi="宋体" w:cs="宋体"/>
          <w:color w:val="auto"/>
          <w:sz w:val="21"/>
          <w:szCs w:val="21"/>
          <w:highlight w:val="none"/>
          <w:u w:val="single"/>
          <w:lang w:val="en-US" w:eastAsia="zh-CN"/>
        </w:rPr>
        <w:t xml:space="preserve">江都区樊川镇大同村2025年度宜居宜业和美乡村建设项目</w:t>
      </w:r>
      <w:r>
        <w:rPr>
          <w:rFonts w:hint="eastAsia" w:ascii="宋体" w:hAnsi="宋体" w:eastAsia="宋体" w:cs="宋体"/>
          <w:color w:val="auto"/>
          <w:sz w:val="21"/>
          <w:szCs w:val="21"/>
          <w:highlight w:val="none"/>
          <w:u w:val="single"/>
        </w:rPr>
        <w:t xml:space="preserve">施工</w:t>
      </w:r>
      <w:r>
        <w:rPr>
          <w:rFonts w:hint="eastAsia" w:ascii="宋体" w:hAnsi="宋体" w:eastAsia="宋体" w:cs="宋体"/>
          <w:color w:val="auto"/>
          <w:sz w:val="21"/>
          <w:szCs w:val="21"/>
          <w:highlight w:val="none"/>
        </w:rPr>
        <w:t xml:space="preserve">（工程全称）签订工程质量保修书。</w:t>
      </w:r>
      <w:r/>
    </w:p>
    <w:p>
      <w:pPr>
        <w:ind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一、工程质量保修范围和内容</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承包人在质量保修期内，按照有关法律规定和合同约定，承担工程质量保修责任。</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质量保修范围包括</w:t>
      </w:r>
      <w:r>
        <w:rPr>
          <w:rFonts w:hint="eastAsia" w:ascii="宋体" w:hAnsi="宋体" w:cs="宋体"/>
          <w:color w:val="auto"/>
          <w:sz w:val="21"/>
          <w:szCs w:val="21"/>
          <w:highlight w:val="none"/>
          <w:u w:val="single"/>
        </w:rPr>
        <w:t xml:space="preserve"> </w:t>
      </w:r>
      <w:r>
        <w:rPr>
          <w:rFonts w:hint="eastAsia" w:ascii="宋体" w:hAnsi="宋体" w:cs="宋体"/>
          <w:b/>
          <w:bCs/>
          <w:color w:val="auto"/>
          <w:sz w:val="21"/>
          <w:szCs w:val="21"/>
          <w:highlight w:val="none"/>
          <w:u w:val="single"/>
        </w:rPr>
        <w:t xml:space="preserve">桥梁工程、道路工程、排水（雨水）工程、绿化工程、地下防水工程</w:t>
      </w:r>
      <w:r>
        <w:rPr>
          <w:rFonts w:hint="eastAsia" w:ascii="宋体" w:hAnsi="宋体" w:cs="宋体"/>
          <w:color w:val="auto"/>
          <w:sz w:val="21"/>
          <w:szCs w:val="21"/>
          <w:highlight w:val="none"/>
        </w:rPr>
        <w:t xml:space="preserve">，以及双方约定的其他项目。具体保修的内容，双方约定如下：</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u w:val="single"/>
        </w:rPr>
        <w:t xml:space="preserve"> </w:t>
      </w:r>
      <w:r>
        <w:rPr>
          <w:rFonts w:hint="eastAsia" w:ascii="宋体" w:hAnsi="宋体" w:cs="宋体"/>
          <w:b/>
          <w:bCs/>
          <w:color w:val="auto"/>
          <w:sz w:val="21"/>
          <w:szCs w:val="21"/>
          <w:highlight w:val="none"/>
          <w:u w:val="single"/>
        </w:rPr>
        <w:t xml:space="preserve">图纸及工程量清单范围内所有内容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二、质量保修期</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根据《建设工程质量管理条例》及有关规定，工程的质量保修期如下：</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1．桥梁工程为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年（建议桥梁隧道主体结构工程为设计文件规定的合理使用年限）；</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2．道路工程为</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年（建议路基、路面、桥面为2年）；</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3．排水（雨水）工程为</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 xml:space="preserve">年（建议道路工程中的排水工程为3年）；</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4．绿化工程为 </w:t>
      </w:r>
      <w:r>
        <w:rPr>
          <w:rFonts w:hint="eastAsia" w:ascii="宋体" w:hAnsi="宋体" w:cs="宋体"/>
          <w:color w:val="auto"/>
          <w:sz w:val="21"/>
          <w:szCs w:val="21"/>
          <w:highlight w:val="none"/>
          <w:u w:val="single"/>
        </w:rPr>
        <w:t xml:space="preserve">单位工程竣工验收合格后 / 年</w:t>
      </w:r>
      <w:r>
        <w:rPr>
          <w:rFonts w:hint="eastAsia" w:ascii="宋体" w:hAnsi="宋体" w:cs="宋体"/>
          <w:color w:val="auto"/>
          <w:sz w:val="21"/>
          <w:szCs w:val="21"/>
          <w:highlight w:val="none"/>
        </w:rPr>
        <w:t xml:space="preserve">；</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  地下防水工程为</w:t>
      </w:r>
      <w:r>
        <w:rPr>
          <w:rFonts w:hint="eastAsia" w:ascii="宋体" w:hAnsi="宋体" w:cs="宋体"/>
          <w:color w:val="auto"/>
          <w:sz w:val="21"/>
          <w:szCs w:val="21"/>
          <w:highlight w:val="none"/>
          <w:u w:val="single"/>
        </w:rPr>
        <w:t xml:space="preserve">  5  </w:t>
      </w:r>
      <w:r>
        <w:rPr>
          <w:rFonts w:hint="eastAsia" w:ascii="宋体" w:hAnsi="宋体" w:cs="宋体"/>
          <w:color w:val="auto"/>
          <w:sz w:val="21"/>
          <w:szCs w:val="21"/>
          <w:highlight w:val="none"/>
        </w:rPr>
        <w:t xml:space="preserve">年（建议为5年）；</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6．其他附属工程为</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年；</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7．其他项目保修期限约定如下：</w:t>
      </w:r>
      <w:r/>
    </w:p>
    <w:p>
      <w:pPr>
        <w:ind w:firstLine="422"/>
        <w:pageBreakBefore w:val="0"/>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u w:val="single"/>
        </w:rPr>
        <w:t xml:space="preserve"> 本工程质量保修期按国家相关规定执行 </w:t>
      </w:r>
      <w:r>
        <w:rPr>
          <w:rFonts w:hint="eastAsia" w:ascii="宋体" w:hAnsi="宋体" w:cs="宋体"/>
          <w:color w:val="auto"/>
          <w:sz w:val="21"/>
          <w:szCs w:val="21"/>
          <w:highlight w:val="none"/>
        </w:rPr>
        <w:t xml:space="preserve">。</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质量保修期自工程竣工验收合格之日起计算。</w:t>
      </w:r>
      <w:r/>
    </w:p>
    <w:p>
      <w:pPr>
        <w:ind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三、缺陷责任期</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工程缺陷责任期为</w:t>
      </w:r>
      <w:r>
        <w:rPr>
          <w:rFonts w:hint="eastAsia" w:ascii="宋体" w:hAnsi="宋体" w:cs="宋体"/>
          <w:color w:val="auto"/>
          <w:sz w:val="21"/>
          <w:szCs w:val="21"/>
          <w:highlight w:val="none"/>
          <w:u w:val="single"/>
        </w:rPr>
        <w:t xml:space="preserve">  </w:t>
      </w:r>
      <w:r>
        <w:rPr>
          <w:rFonts w:hint="eastAsia" w:ascii="宋体" w:hAnsi="宋体" w:cs="宋体"/>
          <w:b/>
          <w:bCs/>
          <w:color w:val="auto"/>
          <w:sz w:val="21"/>
          <w:szCs w:val="21"/>
          <w:highlight w:val="none"/>
          <w:u w:val="single"/>
        </w:rPr>
        <w:t xml:space="preserve"> 24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个月（最长不超过24个月），缺陷责任期自工程竣工验收合格之日起计算。单位工程先于全部工程进行验收，单位工程缺陷责任期自单位工程验收合格之日起算。</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缺陷责任期终止后，发包人应退还剩余的质量保证金。</w:t>
      </w:r>
      <w:r/>
    </w:p>
    <w:p>
      <w:pPr>
        <w:ind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四、质量保修责任</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1．属于保修范围、内容的项目，承包人应当在接到保修通知之日起</w:t>
      </w:r>
      <w:r>
        <w:rPr>
          <w:rFonts w:hint="eastAsia" w:ascii="宋体" w:hAnsi="宋体" w:cs="宋体"/>
          <w:color w:val="auto"/>
          <w:sz w:val="21"/>
          <w:szCs w:val="21"/>
          <w:highlight w:val="none"/>
          <w:u w:val="single"/>
        </w:rPr>
        <w:t xml:space="preserve"> </w:t>
      </w:r>
      <w:r>
        <w:rPr>
          <w:rFonts w:hint="eastAsia" w:ascii="宋体" w:hAnsi="宋体" w:cs="宋体"/>
          <w:b/>
          <w:bCs/>
          <w:color w:val="auto"/>
          <w:sz w:val="21"/>
          <w:szCs w:val="21"/>
          <w:highlight w:val="none"/>
          <w:u w:val="single"/>
        </w:rPr>
        <w:t xml:space="preserve"> 7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天内派人保修。承包人不在约定期限内派人保修的，发包人可以委托他人修理，修理费用从质量保修金内扣除。</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2．发生紧急事故需抢修的，承包人在接到事故通知后，应当立即到达事故现场抢修。</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4．质量保修完成后，由发包人组织验收。</w:t>
      </w:r>
      <w:r/>
    </w:p>
    <w:p>
      <w:pPr>
        <w:ind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五、保修费用</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保修费用由造成质量缺陷的责任方承担。</w:t>
      </w:r>
      <w:r/>
    </w:p>
    <w:p>
      <w:pPr>
        <w:ind w:firstLine="422"/>
        <w:jc w:val="left"/>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六、双方约定的其他工程质量保修事项：</w:t>
      </w:r>
      <w:r/>
    </w:p>
    <w:p>
      <w:pPr>
        <w:ind w:firstLine="42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u w:val="single"/>
        </w:rPr>
        <w:t xml:space="preserve"> </w:t>
      </w:r>
      <w:r>
        <w:rPr>
          <w:rFonts w:hint="eastAsia" w:ascii="宋体" w:hAnsi="宋体" w:cs="宋体"/>
          <w:b/>
          <w:bCs/>
          <w:color w:val="auto"/>
          <w:sz w:val="21"/>
          <w:szCs w:val="21"/>
          <w:highlight w:val="none"/>
          <w:u w:val="single"/>
        </w:rPr>
        <w:t xml:space="preserve">保修期内因承包人不能及时履行保修义务，发包人有权另请第三方维修，费用按实际发生费用的 2 倍从保修金中扣除</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工程质量保修书由发包人、承包人在工程竣工验收前共同签署，作为施工合同附件，其有效期限至保修期满。</w:t>
      </w:r>
      <w:r/>
    </w:p>
    <w:p>
      <w:pPr>
        <w:ind w:firstLine="42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发包人（公章）：</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   承包人（公章）：</w:t>
      </w:r>
      <w:r>
        <w:rPr>
          <w:rFonts w:hint="eastAsia" w:ascii="宋体" w:hAnsi="宋体" w:cs="宋体"/>
          <w:color w:val="auto"/>
          <w:sz w:val="21"/>
          <w:szCs w:val="21"/>
          <w:highlight w:val="none"/>
          <w:u w:val="single"/>
        </w:rPr>
        <w:t xml:space="preserve">               </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地  址：</w:t>
      </w:r>
      <w:r>
        <w:rPr>
          <w:rFonts w:hint="eastAsia" w:ascii="宋体" w:hAnsi="宋体" w:cs="宋体"/>
          <w:color w:val="auto"/>
          <w:sz w:val="21"/>
          <w:szCs w:val="21"/>
          <w:highlight w:val="none"/>
          <w:u w:val="single"/>
        </w:rPr>
        <w:t xml:space="preserve">                      </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法定代表人（签字）：</w:t>
      </w:r>
      <w:r>
        <w:rPr>
          <w:rFonts w:hint="eastAsia" w:ascii="宋体" w:hAnsi="宋体" w:cs="宋体"/>
          <w:color w:val="auto"/>
          <w:sz w:val="21"/>
          <w:szCs w:val="21"/>
          <w:highlight w:val="none"/>
          <w:u w:val="single"/>
        </w:rPr>
        <w:t xml:space="preserve">           </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委托代理人（签字）：</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委托代理人（签字）：</w:t>
      </w:r>
      <w:r>
        <w:rPr>
          <w:rFonts w:hint="eastAsia" w:ascii="宋体" w:hAnsi="宋体" w:cs="宋体"/>
          <w:color w:val="auto"/>
          <w:sz w:val="21"/>
          <w:szCs w:val="21"/>
          <w:highlight w:val="none"/>
          <w:u w:val="single"/>
        </w:rPr>
        <w:t xml:space="preserve">           </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电  话：</w:t>
      </w:r>
      <w:r>
        <w:rPr>
          <w:rFonts w:hint="eastAsia" w:ascii="宋体" w:hAnsi="宋体" w:cs="宋体"/>
          <w:color w:val="auto"/>
          <w:sz w:val="21"/>
          <w:szCs w:val="21"/>
          <w:highlight w:val="none"/>
          <w:u w:val="single"/>
        </w:rPr>
        <w:t xml:space="preserve">                       </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传  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传  真：</w:t>
      </w:r>
      <w:r>
        <w:rPr>
          <w:rFonts w:hint="eastAsia" w:ascii="宋体" w:hAnsi="宋体" w:cs="宋体"/>
          <w:color w:val="auto"/>
          <w:sz w:val="21"/>
          <w:szCs w:val="21"/>
          <w:highlight w:val="none"/>
          <w:u w:val="single"/>
        </w:rPr>
        <w:t xml:space="preserve">                        </w:t>
      </w:r>
      <w:r/>
    </w:p>
    <w:p>
      <w:pPr>
        <w:ind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开户银行：</w:t>
      </w:r>
      <w:r>
        <w:rPr>
          <w:rFonts w:hint="eastAsia" w:ascii="宋体" w:hAnsi="宋体" w:cs="宋体"/>
          <w:color w:val="auto"/>
          <w:sz w:val="21"/>
          <w:szCs w:val="21"/>
          <w:highlight w:val="none"/>
          <w:u w:val="single"/>
        </w:rPr>
        <w:t xml:space="preserve">                    </w:t>
      </w:r>
      <w:r/>
    </w:p>
    <w:p>
      <w:pPr>
        <w:ind w:firstLine="420"/>
        <w:pageBreakBefore w:val="0"/>
        <w:spacing w:line="360" w:lineRule="auto"/>
        <w:tabs>
          <w:tab w:val="left" w:pos="2880" w:leader="none"/>
          <w:tab w:val="left" w:pos="3060" w:leader="none"/>
          <w:tab w:val="left" w:pos="450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账  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账  号：</w:t>
      </w:r>
      <w:r>
        <w:rPr>
          <w:rFonts w:hint="eastAsia" w:ascii="宋体" w:hAnsi="宋体" w:cs="宋体"/>
          <w:color w:val="auto"/>
          <w:sz w:val="21"/>
          <w:szCs w:val="21"/>
          <w:highlight w:val="none"/>
          <w:u w:val="single"/>
        </w:rPr>
        <w:t xml:space="preserve">                       </w:t>
      </w:r>
      <w:r/>
    </w:p>
    <w:p>
      <w:pPr>
        <w:ind w:firstLine="420"/>
        <w:pageBreakBefore w:val="0"/>
        <w:spacing w:line="360" w:lineRule="auto"/>
        <w:tabs>
          <w:tab w:val="left" w:pos="7200" w:leader="none"/>
          <w:tab w:val="left" w:pos="7380" w:leader="none"/>
          <w:tab w:val="left" w:pos="756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邮政编码：</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邮政编码：</w:t>
      </w:r>
      <w:r>
        <w:rPr>
          <w:rFonts w:hint="eastAsia" w:ascii="宋体" w:hAnsi="宋体" w:cs="宋体"/>
          <w:color w:val="auto"/>
          <w:sz w:val="21"/>
          <w:szCs w:val="21"/>
          <w:highlight w:val="none"/>
          <w:u w:val="single"/>
        </w:rPr>
        <w:t xml:space="preserve">                         </w:t>
      </w:r>
      <w:r/>
    </w:p>
    <w:p>
      <w:pPr>
        <w:pageBreakBefore w:val="0"/>
        <w:spacing w:line="360" w:lineRule="auto"/>
        <w:rPr>
          <w:rFonts w:ascii="Times New Roman" w:hAnsi="Times New Roman" w:eastAsia="宋体" w:cs="Calibri"/>
          <w:color w:val="auto"/>
          <w:sz w:val="21"/>
          <w:szCs w:val="21"/>
          <w:highlight w:val="none"/>
          <w:lang w:val="en-US" w:eastAsia="zh-CN" w:bidi="ar-SA"/>
        </w:rPr>
      </w:pPr>
      <w:r>
        <w:rPr>
          <w:rFonts w:ascii="Times New Roman" w:hAnsi="Times New Roman" w:eastAsia="宋体" w:cs="Calibri"/>
          <w:color w:val="auto"/>
          <w:sz w:val="21"/>
          <w:szCs w:val="21"/>
          <w:highlight w:val="none"/>
          <w:lang w:val="en-US" w:eastAsia="zh-CN" w:bidi="ar-SA"/>
        </w:rPr>
      </w:r>
      <w:r/>
    </w:p>
    <w:p>
      <w:pPr>
        <w:jc w:val="center"/>
        <w:spacing w:line="360" w:lineRule="auto"/>
        <w:rPr>
          <w:rFonts w:hint="eastAsia"/>
          <w:b/>
          <w:bCs/>
          <w:color w:val="auto"/>
          <w:sz w:val="36"/>
          <w:szCs w:val="36"/>
          <w:highlight w:val="none"/>
        </w:rPr>
      </w:pPr>
      <w:r>
        <w:rPr>
          <w:rFonts w:hint="eastAsia"/>
          <w:b/>
          <w:bCs/>
          <w:color w:val="auto"/>
          <w:sz w:val="36"/>
          <w:szCs w:val="36"/>
          <w:highlight w:val="none"/>
        </w:rPr>
      </w:r>
      <w:r/>
    </w:p>
    <w:p>
      <w:pPr>
        <w:jc w:val="center"/>
        <w:spacing w:line="360" w:lineRule="auto"/>
        <w:rPr>
          <w:rFonts w:hint="eastAsia"/>
          <w:b/>
          <w:bCs/>
          <w:color w:val="auto"/>
          <w:sz w:val="36"/>
          <w:szCs w:val="36"/>
          <w:highlight w:val="none"/>
        </w:rPr>
      </w:pPr>
      <w:r>
        <w:rPr>
          <w:rFonts w:hint="eastAsia"/>
          <w:b/>
          <w:bCs/>
          <w:color w:val="auto"/>
          <w:sz w:val="36"/>
          <w:szCs w:val="36"/>
          <w:highlight w:val="none"/>
        </w:rPr>
      </w:r>
      <w:r/>
    </w:p>
    <w:p>
      <w:pPr>
        <w:jc w:val="center"/>
        <w:spacing w:line="360" w:lineRule="auto"/>
        <w:rPr>
          <w:rFonts w:hint="eastAsia"/>
          <w:b/>
          <w:bCs/>
          <w:color w:val="auto"/>
          <w:sz w:val="36"/>
          <w:szCs w:val="36"/>
          <w:highlight w:val="none"/>
        </w:rPr>
      </w:pPr>
      <w:r>
        <w:rPr>
          <w:rFonts w:hint="eastAsia"/>
          <w:b/>
          <w:bCs/>
          <w:color w:val="auto"/>
          <w:sz w:val="36"/>
          <w:szCs w:val="36"/>
          <w:highlight w:val="none"/>
        </w:rPr>
      </w:r>
      <w:r/>
    </w:p>
    <w:p>
      <w:pPr>
        <w:jc w:val="center"/>
        <w:spacing w:line="360" w:lineRule="auto"/>
        <w:rPr>
          <w:rFonts w:hint="eastAsia"/>
          <w:b/>
          <w:bCs/>
          <w:color w:val="auto"/>
          <w:sz w:val="36"/>
          <w:szCs w:val="36"/>
          <w:highlight w:val="none"/>
        </w:rPr>
      </w:pPr>
      <w:r>
        <w:rPr>
          <w:rFonts w:hint="eastAsia"/>
          <w:b/>
          <w:bCs/>
          <w:color w:val="auto"/>
          <w:sz w:val="36"/>
          <w:szCs w:val="36"/>
          <w:highlight w:val="none"/>
        </w:rPr>
      </w:r>
      <w:r/>
    </w:p>
    <w:p>
      <w:pPr>
        <w:rPr>
          <w:rFonts w:hint="eastAsia"/>
          <w:b/>
          <w:bCs/>
          <w:color w:val="auto"/>
          <w:sz w:val="36"/>
          <w:szCs w:val="36"/>
          <w:highlight w:val="none"/>
        </w:rPr>
      </w:pPr>
      <w:r>
        <w:rPr>
          <w:rFonts w:hint="eastAsia"/>
          <w:b/>
          <w:bCs/>
          <w:color w:val="auto"/>
          <w:sz w:val="36"/>
          <w:szCs w:val="36"/>
          <w:highlight w:val="none"/>
        </w:rPr>
        <w:br w:type="page" w:clear="all"/>
      </w:r>
      <w:r/>
    </w:p>
    <w:p>
      <w:pPr>
        <w:jc w:val="center"/>
        <w:spacing w:line="360" w:lineRule="auto"/>
        <w:rPr>
          <w:rFonts w:asciiTheme="minorEastAsia" w:hAnsiTheme="minorEastAsia" w:eastAsiaTheme="minorEastAsia"/>
          <w:color w:val="auto"/>
          <w:sz w:val="24"/>
          <w:szCs w:val="24"/>
          <w:highlight w:val="none"/>
        </w:rPr>
      </w:pPr>
      <w:r>
        <w:rPr>
          <w:rFonts w:hint="eastAsia"/>
          <w:b/>
          <w:bCs/>
          <w:color w:val="auto"/>
          <w:sz w:val="36"/>
          <w:szCs w:val="36"/>
          <w:highlight w:val="none"/>
        </w:rPr>
        <w:t xml:space="preserve">安全管理协议</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为在</w:t>
      </w:r>
      <w:r>
        <w:rPr>
          <w:rFonts w:hint="eastAsia" w:ascii="宋体" w:hAnsi="宋体" w:cs="宋体"/>
          <w:color w:val="auto"/>
          <w:sz w:val="21"/>
          <w:szCs w:val="21"/>
          <w:highlight w:val="none"/>
          <w:u w:val="single"/>
          <w:lang w:val="en-US" w:eastAsia="zh-CN"/>
        </w:rPr>
        <w:t xml:space="preserve">江都区樊川镇大同村2025年度宜居宜业和美乡村建设项目 </w:t>
      </w:r>
      <w:r>
        <w:rPr>
          <w:rFonts w:hint="eastAsia"/>
          <w:color w:val="auto"/>
          <w:sz w:val="21"/>
          <w:szCs w:val="21"/>
          <w:highlight w:val="none"/>
        </w:rPr>
        <w:t xml:space="preserve">施工项目的实施过程中，切实加强施工安全管理，明确双方安全责任，创造安全、高效的施工环境，本项目发包人  </w:t>
      </w:r>
      <w:r>
        <w:rPr>
          <w:rFonts w:hint="eastAsia"/>
          <w:color w:val="auto"/>
          <w:sz w:val="21"/>
          <w:szCs w:val="21"/>
          <w:highlight w:val="none"/>
          <w:lang w:eastAsia="zh-CN"/>
        </w:rPr>
        <w:t xml:space="preserve">扬州市江都区樊川镇人民政府</w:t>
      </w:r>
      <w:r>
        <w:rPr>
          <w:rFonts w:hint="eastAsia"/>
          <w:color w:val="auto"/>
          <w:sz w:val="21"/>
          <w:szCs w:val="21"/>
          <w:highlight w:val="none"/>
        </w:rPr>
        <w:t xml:space="preserve">  （以下简称“发包人”）与承包人    </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  （以下简称“承包人”）经协商达成如下安全协议并共同遵守。本安全管理协议是《</w:t>
      </w:r>
      <w:r>
        <w:rPr>
          <w:rFonts w:hint="eastAsia"/>
          <w:color w:val="auto"/>
          <w:sz w:val="21"/>
          <w:szCs w:val="21"/>
          <w:highlight w:val="none"/>
          <w:lang w:val="en-US" w:eastAsia="zh-CN"/>
        </w:rPr>
        <w:t xml:space="preserve">江都区樊川镇大同村2025年度宜居宜业和美乡村建设项目 </w:t>
      </w:r>
      <w:r>
        <w:rPr>
          <w:rFonts w:hint="eastAsia"/>
          <w:color w:val="auto"/>
          <w:sz w:val="21"/>
          <w:szCs w:val="21"/>
          <w:highlight w:val="none"/>
        </w:rPr>
        <w:t xml:space="preserve">》的附件，具有同等法律效力。</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一、发包人安全职责</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1、审批承包人在开工前制定的工程施工安全措施方案，并备案。</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2、有权对承包人施工现场进行安全生产检查，监督承包人及时处理发现的各种安全隐患。</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3、不得要求承包人违反安全管理规定施工。</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4、发包人的前述审批、监管、备案等行为不构成责任主体行为，施工中发生的安全事故其责任均由承包人承担，发包人无需承担任何责任。</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二、承包人安全责任</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1、承包人所提供的承包工程所要求的相关资质证明材料必须真实、有效。</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2、在现场施工中，必须严格遵守国家、地方、行业的有关安全的法律法规，认真执行工程承包合同中有关安全的要求。遵守发包人制定的有关安全生产规章制度。</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4、确保所派施工人员业务水平、身体素质及精神状态等满足施工要求，严禁使用未成年和不适应现场安全施工要求的老、弱、病、残人员进行施工。</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5、开工前必须自上而下进行安全技术交底，全体施工人员均应掌握工程特点及施工安全措施；开工前应组织施工人员学习并掌握有关安全生产规程、规定。</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7、施工现场必须具有符合相关规范的安全标志牌。</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12、施工中的安全由承包人自行负责，施工中发生安全事故造成的人身伤亡、财产损失、施工造成的房屋开裂、原地下管线损坏、质量安全及相关法律责任等均由承包人承担。</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13、对发包人人员违章指挥或者可能危及生命、财产安全的指挥，承包人有权拒绝。</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14、承包人施工人员有变动的，必须对新进场施工人员及时进行安全教育。</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15、承包人对施工人员组织密闭空间安全培训，建立健全的密闭空间安全</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作业措施，保障施工人员在密闭空间作业安全。</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三、安全考核</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1、在施工过程中承包人不按工程安全管理措施方案实施，或发生安全事故，由市建设行政主管部门依照《生产安全事故报告和调查处理条例》有关规定进行处置。</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2</w:t>
      </w:r>
      <w:r>
        <w:rPr>
          <w:rFonts w:hint="eastAsia"/>
          <w:color w:val="auto"/>
          <w:sz w:val="21"/>
          <w:szCs w:val="21"/>
          <w:highlight w:val="none"/>
        </w:rPr>
        <w:t xml:space="preserve">、施工过程中，发包人每发现承包人施工人员一次违章行为，扣</w:t>
      </w:r>
      <w:r>
        <w:rPr>
          <w:rFonts w:hint="eastAsia"/>
          <w:color w:val="auto"/>
          <w:sz w:val="21"/>
          <w:szCs w:val="21"/>
          <w:highlight w:val="none"/>
          <w:lang w:val="en-US" w:eastAsia="zh-CN"/>
        </w:rPr>
        <w:t xml:space="preserve">收</w:t>
      </w:r>
      <w:r>
        <w:rPr>
          <w:rFonts w:hint="eastAsia"/>
          <w:color w:val="auto"/>
          <w:sz w:val="21"/>
          <w:szCs w:val="21"/>
          <w:highlight w:val="none"/>
        </w:rPr>
        <w:t xml:space="preserve">500元，违章行为较严重的，根据情节扣收1000元，屡教不改的发包人有权加倍扣收。</w:t>
      </w:r>
      <w:r/>
    </w:p>
    <w:p>
      <w:pPr>
        <w:ind w:firstLine="438"/>
        <w:pageBreakBefore w:val="0"/>
        <w:spacing w:line="360" w:lineRule="auto"/>
        <w:shd w:val="clear" w:color="auto"/>
        <w:rPr>
          <w:rFonts w:hint="eastAsia"/>
          <w:color w:val="auto"/>
          <w:sz w:val="21"/>
          <w:szCs w:val="21"/>
          <w:highlight w:val="none"/>
        </w:rPr>
      </w:pPr>
      <w:r>
        <w:rPr>
          <w:rFonts w:hint="eastAsia"/>
          <w:color w:val="auto"/>
          <w:sz w:val="21"/>
          <w:szCs w:val="21"/>
          <w:highlight w:val="none"/>
          <w:lang w:val="en-US" w:eastAsia="zh-CN"/>
        </w:rPr>
        <w:t xml:space="preserve">3</w:t>
      </w:r>
      <w:r>
        <w:rPr>
          <w:rFonts w:hint="eastAsia"/>
          <w:color w:val="auto"/>
          <w:sz w:val="21"/>
          <w:szCs w:val="21"/>
          <w:highlight w:val="none"/>
        </w:rPr>
        <w:t xml:space="preserve">、在施工过程中每发生一起轻伤事故，在施工过程中每发生</w:t>
      </w:r>
      <w:r>
        <w:rPr>
          <w:rFonts w:hint="eastAsia"/>
          <w:color w:val="auto"/>
          <w:sz w:val="21"/>
          <w:szCs w:val="21"/>
          <w:highlight w:val="none"/>
          <w:lang w:val="en-US" w:eastAsia="zh-CN"/>
        </w:rPr>
        <w:t xml:space="preserve">每一起</w:t>
      </w:r>
      <w:r>
        <w:rPr>
          <w:rFonts w:hint="eastAsia"/>
          <w:color w:val="auto"/>
          <w:sz w:val="21"/>
          <w:szCs w:val="21"/>
          <w:highlight w:val="none"/>
        </w:rPr>
        <w:t xml:space="preserve">事故，</w:t>
      </w:r>
      <w:r>
        <w:rPr>
          <w:rFonts w:hint="eastAsia"/>
          <w:color w:val="auto"/>
          <w:sz w:val="21"/>
          <w:szCs w:val="21"/>
          <w:highlight w:val="none"/>
          <w:lang w:val="en-US" w:eastAsia="zh-CN"/>
        </w:rPr>
        <w:t xml:space="preserve">将按相关规定给予处罚</w:t>
      </w:r>
      <w:r>
        <w:rPr>
          <w:rFonts w:hint="eastAsia"/>
          <w:color w:val="auto"/>
          <w:sz w:val="21"/>
          <w:szCs w:val="21"/>
          <w:highlight w:val="none"/>
        </w:rPr>
        <w:t xml:space="preserve">。</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4</w:t>
      </w:r>
      <w:r>
        <w:rPr>
          <w:rFonts w:hint="eastAsia"/>
          <w:color w:val="auto"/>
          <w:sz w:val="21"/>
          <w:szCs w:val="21"/>
          <w:highlight w:val="none"/>
        </w:rPr>
        <w:t xml:space="preserve">、由于承包人原因造成发包人停水、停电、设备事故、人身受伤或影响员工正常生活，承包人承担相应的赔偿责任。</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、承包人违反发包人有关安全生产规章制度，并且不听从发包人建议，拒绝执行整改的，发包人可要求停工整改，因此而造成工期延误的承包人承担逾期责任。</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、发包人对施工现场的安全监督检查意见（包括施工人员违章、安全隐患情况等），以书面形式通知承包人，并双方签字确认，作为安全考核依据。</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、发包人对承包人的安全检查项目见附表。</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四、协议生效</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1、本协议一式陆份，发包人执肆份、承包人执两份。本协议自双方签字或盖章之日起生效。</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2、本协议有效期：自本协议签订之日起至工程竣工验收合格并交付发包人为止。</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发包人（盖章）：                        承包人（盖章）：  </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项目安全责任人：                       承包人工地安全负责人：</w:t>
      </w:r>
      <w:r/>
    </w:p>
    <w:p>
      <w:pPr>
        <w:ind w:firstLine="438"/>
        <w:pageBreakBefore w:val="0"/>
        <w:spacing w:line="360" w:lineRule="auto"/>
        <w:shd w:val="clear" w:color="auto"/>
        <w:rPr>
          <w:color w:val="auto"/>
          <w:sz w:val="21"/>
          <w:szCs w:val="21"/>
          <w:highlight w:val="none"/>
        </w:rPr>
      </w:pPr>
      <w:r>
        <w:rPr>
          <w:rFonts w:hint="eastAsia"/>
          <w:color w:val="auto"/>
          <w:sz w:val="21"/>
          <w:szCs w:val="21"/>
          <w:highlight w:val="none"/>
        </w:rPr>
        <w:t xml:space="preserve">签订地点：                             签订日期：   年   月    日</w:t>
      </w:r>
      <w:r/>
    </w:p>
    <w:p>
      <w:pPr>
        <w:rPr>
          <w:rFonts w:hint="eastAsia" w:hAnsi="宋体" w:cs="宋体"/>
          <w:bCs/>
          <w:color w:val="auto"/>
          <w:sz w:val="21"/>
          <w:szCs w:val="21"/>
          <w:highlight w:val="none"/>
        </w:rPr>
      </w:pPr>
      <w:r>
        <w:rPr>
          <w:rFonts w:hint="eastAsia" w:hAnsi="宋体" w:cs="宋体"/>
          <w:bCs/>
          <w:color w:val="auto"/>
          <w:sz w:val="21"/>
          <w:szCs w:val="21"/>
          <w:highlight w:val="none"/>
        </w:rPr>
      </w:r>
      <w:r/>
    </w:p>
    <w:p>
      <w:pPr>
        <w:rPr>
          <w:rFonts w:hint="eastAsia" w:hAnsi="宋体" w:cs="宋体"/>
          <w:bCs/>
          <w:color w:val="auto"/>
          <w:sz w:val="21"/>
          <w:szCs w:val="21"/>
          <w:highlight w:val="none"/>
        </w:rPr>
      </w:pPr>
      <w:r>
        <w:rPr>
          <w:rFonts w:hint="eastAsia" w:hAnsi="宋体" w:cs="宋体"/>
          <w:bCs/>
          <w:color w:val="auto"/>
          <w:sz w:val="21"/>
          <w:szCs w:val="21"/>
          <w:highlight w:val="none"/>
        </w:rPr>
      </w:r>
      <w:r/>
    </w:p>
    <w:p>
      <w:pPr>
        <w:ind w:firstLine="964"/>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第四章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竞争性磋商项目内容及服务要求</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其他要求</w:t>
      </w:r>
      <w:r/>
    </w:p>
    <w:p>
      <w:pPr>
        <w:ind w:firstLine="420"/>
        <w:spacing w:line="360" w:lineRule="auto"/>
        <w:rPr>
          <w:rFonts w:ascii="宋体" w:hAnsi="宋体" w:cs="宋体"/>
          <w:b/>
          <w:bCs/>
          <w:i/>
          <w:iCs/>
          <w:color w:val="auto"/>
          <w:highlight w:val="none"/>
          <w:u w:val="single"/>
        </w:rPr>
      </w:pPr>
      <w:r>
        <w:rPr>
          <w:rFonts w:hint="eastAsia" w:ascii="宋体" w:hAnsi="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color w:val="auto"/>
          <w:highlight w:val="none"/>
          <w:u w:val="single"/>
        </w:rPr>
        <w:t xml:space="preserve">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22"/>
        <w:spacing w:line="360" w:lineRule="auto"/>
        <w:rPr>
          <w:rFonts w:hint="eastAsia" w:ascii="宋体" w:hAnsi="宋体" w:eastAsia="宋体" w:cs="宋体"/>
          <w:b/>
          <w:bCs/>
          <w:color w:val="auto"/>
          <w:highlight w:val="none"/>
          <w:lang w:eastAsia="zh-CN"/>
        </w:rPr>
      </w:pPr>
      <w:r>
        <w:rPr>
          <w:rFonts w:hint="eastAsia" w:ascii="宋体" w:hAnsi="宋体" w:cs="宋体"/>
          <w:b/>
          <w:bCs/>
          <w:color w:val="auto"/>
          <w:highlight w:val="none"/>
        </w:rPr>
        <w:t xml:space="preserve">本项目所属行业：</w:t>
      </w:r>
      <w:r>
        <w:rPr>
          <w:rFonts w:hint="eastAsia" w:ascii="宋体" w:hAnsi="宋体" w:cs="宋体"/>
          <w:b/>
          <w:bCs/>
          <w:color w:val="auto"/>
          <w:highlight w:val="none"/>
          <w:lang w:eastAsia="zh-CN"/>
        </w:rPr>
        <w:t xml:space="preserve">建筑业</w:t>
      </w:r>
      <w:r/>
    </w:p>
    <w:p>
      <w:pPr>
        <w:pStyle w:val="809"/>
        <w:ind w:left="0" w:firstLine="42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pacing w:val="0"/>
          <w:sz w:val="21"/>
          <w:szCs w:val="21"/>
          <w:highlight w:val="none"/>
          <w:lang w:val="en-US" w:eastAsia="zh-CN" w:bidi="ar-SA"/>
        </w:rPr>
        <w:pBdr>
          <w:left w:val="none" w:color="auto" w:sz="0" w:space="0"/>
        </w:pBdr>
        <w:suppressLineNumbers w:val="0"/>
      </w:pPr>
      <w:r>
        <w:rPr>
          <w:rFonts w:hint="eastAsia" w:ascii="宋体" w:hAnsi="宋体" w:eastAsia="宋体" w:cs="宋体"/>
          <w:b/>
          <w:bCs/>
          <w:color w:val="auto"/>
          <w:spacing w:val="0"/>
          <w:sz w:val="21"/>
          <w:szCs w:val="21"/>
          <w:highlight w:val="none"/>
          <w:lang w:val="en-US" w:eastAsia="zh-CN" w:bidi="ar-SA"/>
        </w:rPr>
        <w:t xml:space="preserve">一、本项目</w:t>
      </w:r>
      <w:r>
        <w:rPr>
          <w:rFonts w:hint="eastAsia" w:ascii="宋体" w:hAnsi="宋体" w:eastAsia="宋体" w:cs="宋体"/>
          <w:b/>
          <w:bCs/>
          <w:color w:val="auto"/>
          <w:spacing w:val="0"/>
          <w:sz w:val="21"/>
          <w:szCs w:val="21"/>
          <w:highlight w:val="none"/>
          <w:lang w:val="en-US" w:eastAsia="zh-CN" w:bidi="ar-SA"/>
        </w:rPr>
        <w:t xml:space="preserve">预算金额：</w:t>
      </w:r>
      <w:r>
        <w:rPr>
          <w:rFonts w:hint="eastAsia" w:ascii="宋体" w:hAnsi="宋体" w:cs="宋体"/>
          <w:b/>
          <w:bCs/>
          <w:color w:val="auto"/>
          <w:spacing w:val="0"/>
          <w:sz w:val="21"/>
          <w:szCs w:val="21"/>
          <w:highlight w:val="none"/>
          <w:lang w:val="en-US" w:eastAsia="zh-CN" w:bidi="ar-SA"/>
        </w:rPr>
        <w:t xml:space="preserve">318.614485</w:t>
      </w:r>
      <w:r>
        <w:rPr>
          <w:rFonts w:hint="eastAsia" w:ascii="宋体" w:hAnsi="宋体" w:eastAsia="宋体" w:cs="宋体"/>
          <w:b/>
          <w:bCs/>
          <w:color w:val="auto"/>
          <w:spacing w:val="0"/>
          <w:sz w:val="21"/>
          <w:szCs w:val="21"/>
          <w:highlight w:val="none"/>
          <w:lang w:val="en-US" w:eastAsia="zh-CN" w:bidi="ar-SA"/>
        </w:rPr>
        <w:t xml:space="preserve">万元，最高限价：293.125326</w:t>
      </w:r>
      <w:r>
        <w:rPr>
          <w:rFonts w:hint="eastAsia" w:ascii="宋体" w:hAnsi="宋体" w:cs="宋体"/>
          <w:b/>
          <w:bCs/>
          <w:color w:val="auto"/>
          <w:spacing w:val="0"/>
          <w:sz w:val="21"/>
          <w:szCs w:val="21"/>
          <w:highlight w:val="none"/>
          <w:lang w:val="en-US" w:eastAsia="zh-CN" w:bidi="ar-SA"/>
        </w:rPr>
        <w:t xml:space="preserve">万</w:t>
      </w:r>
      <w:r>
        <w:rPr>
          <w:rFonts w:hint="eastAsia" w:ascii="宋体" w:hAnsi="宋体" w:eastAsia="宋体" w:cs="宋体"/>
          <w:b/>
          <w:bCs/>
          <w:color w:val="auto"/>
          <w:spacing w:val="0"/>
          <w:sz w:val="21"/>
          <w:szCs w:val="21"/>
          <w:highlight w:val="none"/>
          <w:lang w:val="en-US" w:eastAsia="zh-CN" w:bidi="ar-SA"/>
        </w:rPr>
        <w:t xml:space="preserve">元，</w:t>
      </w:r>
      <w:r>
        <w:rPr>
          <w:rFonts w:hint="eastAsia" w:ascii="宋体" w:hAnsi="宋体" w:eastAsia="宋体" w:cs="宋体"/>
          <w:b/>
          <w:bCs/>
          <w:color w:val="auto"/>
          <w:spacing w:val="0"/>
          <w:sz w:val="21"/>
          <w:szCs w:val="21"/>
          <w:highlight w:val="none"/>
          <w:lang w:val="en-US" w:eastAsia="zh-CN" w:bidi="ar-SA"/>
        </w:rPr>
        <w:t xml:space="preserve">报价超过最高限价的为无效报价，按照无效响应处理。</w:t>
      </w:r>
      <w:r/>
    </w:p>
    <w:p>
      <w:pPr>
        <w:ind w:firstLine="422"/>
        <w:keepLines w:val="0"/>
        <w:keepNext w:val="0"/>
        <w:pageBreakBefore w:val="0"/>
        <w:spacing w:line="360" w:lineRule="auto"/>
        <w:widowControl w:val="off"/>
        <w:rPr>
          <w:rFonts w:hint="eastAsia" w:ascii="宋体" w:hAnsi="宋体" w:cs="宋体"/>
          <w:b/>
          <w:bCs/>
          <w:color w:val="auto"/>
          <w:spacing w:val="0"/>
          <w:highlight w:val="none"/>
        </w:rPr>
      </w:pPr>
      <w:r>
        <w:rPr>
          <w:rFonts w:hint="eastAsia" w:ascii="宋体" w:hAnsi="宋体" w:cs="宋体"/>
          <w:b/>
          <w:bCs/>
          <w:color w:val="auto"/>
          <w:spacing w:val="0"/>
          <w:highlight w:val="none"/>
        </w:rPr>
        <w:t xml:space="preserve">二、施工图纸及招标工程量清单（详见附件），最终工程内容及数量以采购人确认为准。</w:t>
      </w:r>
      <w:r/>
    </w:p>
    <w:p>
      <w:pPr>
        <w:ind w:firstLine="422"/>
        <w:pageBreakBefore w:val="0"/>
        <w:spacing w:line="360" w:lineRule="auto"/>
        <w:rPr>
          <w:rFonts w:ascii="宋体" w:hAnsi="宋体" w:cs="宋体"/>
          <w:b/>
          <w:bCs/>
          <w:color w:val="auto"/>
          <w:spacing w:val="0"/>
          <w:sz w:val="21"/>
          <w:szCs w:val="21"/>
          <w:highlight w:val="none"/>
        </w:rPr>
      </w:pPr>
      <w:r>
        <w:rPr>
          <w:rFonts w:hint="eastAsia" w:ascii="宋体" w:hAnsi="宋体" w:cs="宋体"/>
          <w:b/>
          <w:bCs/>
          <w:color w:val="auto"/>
          <w:spacing w:val="0"/>
          <w:sz w:val="21"/>
          <w:szCs w:val="21"/>
          <w:highlight w:val="none"/>
        </w:rPr>
        <w:t xml:space="preserve">三、其它磋商须知：</w:t>
      </w:r>
      <w:r/>
    </w:p>
    <w:p>
      <w:pPr>
        <w:ind w:firstLine="420"/>
        <w:pageBreakBefore w:val="0"/>
        <w:spacing w:line="360" w:lineRule="auto"/>
        <w:rPr>
          <w:rFonts w:ascii="宋体" w:hAnsi="宋体" w:cs="宋体"/>
          <w:i/>
          <w:iCs/>
          <w:color w:val="auto"/>
          <w:spacing w:val="0"/>
          <w:sz w:val="21"/>
          <w:szCs w:val="21"/>
          <w:highlight w:val="none"/>
          <w:u w:val="single"/>
        </w:rPr>
      </w:pPr>
      <w:r>
        <w:rPr>
          <w:rFonts w:hint="eastAsia" w:ascii="宋体" w:hAnsi="宋体" w:cs="宋体"/>
          <w:i/>
          <w:iCs/>
          <w:color w:val="auto"/>
          <w:spacing w:val="0"/>
          <w:sz w:val="21"/>
          <w:szCs w:val="21"/>
          <w:highlight w:val="none"/>
          <w:u w:val="single"/>
        </w:rPr>
        <w:t xml:space="preserve">1、报价应按照采购人提供的工程量清单的格式，不得改变工程量清单，不可竞争费用不得让利。</w:t>
      </w:r>
      <w:r/>
    </w:p>
    <w:p>
      <w:pPr>
        <w:ind w:firstLine="420"/>
        <w:pageBreakBefore w:val="0"/>
        <w:spacing w:line="360" w:lineRule="auto"/>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2、投标人应彻底踏勘现场，以充分了解项目位置、交通状况以及工作范围等任何足以影响其磋商报价的情况。任何忽视或误解项目基本情况，而使采购人在项目实施过程中蒙受的损失，将由投标人进行赔偿。</w:t>
      </w:r>
      <w:r/>
    </w:p>
    <w:p>
      <w:pPr>
        <w:ind w:firstLine="390"/>
        <w:pageBreakBefore w:val="0"/>
        <w:spacing w:line="360" w:lineRule="auto"/>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3、本项目采用固定单价，承包范围为工程量清单、磋商文件相关的内容。投标人应根据附件内容仔细核对工程量清单，核对内容包括清单数量、清单特征、计量单位等，并将疑问在提问截止时间前提出，如未提出任何疑问，则视为对采购人提供的工程量清单不存在问题，设计变更及采购人要求变动的内容按变更处理，详见合同条款。</w:t>
      </w:r>
      <w:r/>
    </w:p>
    <w:p>
      <w:pPr>
        <w:ind w:firstLine="422"/>
        <w:pageBreakBefore w:val="0"/>
        <w:spacing w:line="360" w:lineRule="auto"/>
        <w:rPr>
          <w:rFonts w:ascii="宋体" w:hAnsi="宋体" w:cs="宋体"/>
          <w:color w:val="auto"/>
          <w:spacing w:val="0"/>
          <w:sz w:val="21"/>
          <w:szCs w:val="21"/>
          <w:highlight w:val="none"/>
        </w:rPr>
      </w:pPr>
      <w:r>
        <w:rPr>
          <w:rFonts w:hint="eastAsia" w:ascii="宋体" w:hAnsi="宋体" w:cs="宋体"/>
          <w:b/>
          <w:bCs/>
          <w:color w:val="auto"/>
          <w:spacing w:val="0"/>
          <w:sz w:val="21"/>
          <w:szCs w:val="21"/>
          <w:highlight w:val="none"/>
        </w:rPr>
        <w:t xml:space="preserve">4、施工工期要求：</w:t>
      </w:r>
      <w:r>
        <w:rPr>
          <w:rFonts w:hint="eastAsia" w:ascii="宋体" w:hAnsi="宋体" w:cs="宋体"/>
          <w:b/>
          <w:bCs/>
          <w:color w:val="auto"/>
          <w:spacing w:val="0"/>
          <w:sz w:val="21"/>
          <w:szCs w:val="21"/>
          <w:highlight w:val="none"/>
          <w:lang w:val="en-US" w:eastAsia="zh-CN"/>
        </w:rPr>
        <w:t xml:space="preserve">50</w:t>
      </w:r>
      <w:r>
        <w:rPr>
          <w:rFonts w:hint="eastAsia" w:ascii="宋体" w:hAnsi="宋体" w:cs="宋体"/>
          <w:b/>
          <w:bCs/>
          <w:color w:val="auto"/>
          <w:spacing w:val="0"/>
          <w:sz w:val="21"/>
          <w:szCs w:val="21"/>
          <w:highlight w:val="none"/>
        </w:rPr>
        <w:t xml:space="preserve">日历天(具体开工时间以采购人通知为准)。</w:t>
      </w:r>
      <w:r/>
    </w:p>
    <w:p>
      <w:pPr>
        <w:ind w:firstLine="420"/>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5、成交</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必须服从现场管理，对工序和材料及时报验，原材料及配件必须符合国家标准，经复试合格后方可使用。</w:t>
      </w:r>
      <w:r/>
    </w:p>
    <w:p>
      <w:pPr>
        <w:ind w:firstLine="420"/>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6、</w:t>
      </w:r>
      <w:r>
        <w:rPr>
          <w:rFonts w:hint="eastAsia" w:ascii="宋体" w:hAnsi="宋体" w:cs="宋体"/>
          <w:color w:val="auto"/>
          <w:spacing w:val="0"/>
          <w:highlight w:val="none"/>
        </w:rPr>
        <w:t xml:space="preserve">建设过程中产生的垃圾及时清运，费用由成交人承担；建设工程不能影响其他设施、设备的使用及功能，不能影响采购人正常工作开展。</w:t>
      </w:r>
      <w:r/>
    </w:p>
    <w:p>
      <w:pPr>
        <w:ind w:firstLine="420"/>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7、施工过程中，</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需采取措施保护现场及周边相关财务、物品、设施等，因</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的不规范操作、误操作等原因造成相关设施的损坏、设备的停用等后果均由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承担，由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原样修复并自行承担相关费用。</w:t>
      </w:r>
      <w:r/>
    </w:p>
    <w:p>
      <w:pPr>
        <w:ind w:firstLine="420"/>
        <w:keepLines w:val="0"/>
        <w:keepNext w:val="0"/>
        <w:pageBreakBefore w:val="0"/>
        <w:spacing w:line="360" w:lineRule="auto"/>
        <w:widowControl w:val="off"/>
        <w:rPr>
          <w:rFonts w:hint="eastAsia" w:ascii="宋体" w:hAnsi="宋体" w:cs="宋体"/>
          <w:color w:val="auto"/>
          <w:spacing w:val="0"/>
          <w:highlight w:val="none"/>
        </w:rPr>
      </w:pPr>
      <w:r>
        <w:rPr>
          <w:rFonts w:hint="eastAsia" w:ascii="宋体" w:hAnsi="宋体" w:cs="宋体"/>
          <w:color w:val="auto"/>
          <w:spacing w:val="0"/>
          <w:highlight w:val="none"/>
        </w:rPr>
        <w:t xml:space="preserve">8、工程量清单编制依据</w:t>
      </w:r>
      <w:r/>
    </w:p>
    <w:p>
      <w:pPr>
        <w:ind w:firstLine="420"/>
        <w:keepLines w:val="0"/>
        <w:keepNext w:val="0"/>
        <w:pageBreakBefore w:val="0"/>
        <w:spacing w:line="360" w:lineRule="auto"/>
        <w:widowControl w:val="off"/>
        <w:rPr>
          <w:rFonts w:hint="eastAsia" w:ascii="宋体" w:hAnsi="宋体" w:cs="宋体"/>
          <w:color w:val="auto"/>
          <w:spacing w:val="0"/>
          <w:highlight w:val="none"/>
        </w:rPr>
      </w:pPr>
      <w:r>
        <w:rPr>
          <w:rFonts w:hint="eastAsia" w:ascii="宋体" w:hAnsi="宋体" w:cs="宋体"/>
          <w:color w:val="auto"/>
          <w:spacing w:val="0"/>
          <w:highlight w:val="none"/>
          <w:lang w:eastAsia="zh-CN"/>
        </w:rPr>
        <w:t xml:space="preserve">详见工程量清单总说明</w:t>
      </w:r>
      <w:r>
        <w:rPr>
          <w:rFonts w:hint="eastAsia" w:ascii="宋体" w:hAnsi="宋体" w:cs="宋体"/>
          <w:color w:val="auto"/>
          <w:spacing w:val="0"/>
          <w:highlight w:val="none"/>
        </w:rPr>
        <w:t xml:space="preserve"> </w:t>
      </w:r>
      <w:r/>
    </w:p>
    <w:p>
      <w:pPr>
        <w:ind w:firstLine="420"/>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9、</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在投标时应按《建设工程工程量清单计价规范》（GB50500-2013）和磋商文件规定的格式，提供完整齐全的文件。</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10、磋商报价编制要求</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10.1所有磋商报价以人民币表示，</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报价单位为元，保留小数点后两位。</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10.2</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在磋商截止时间前修改磋商函中的磋商总报价，应同时修改“工程量清单”中的相应报价。</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10.3除磋商文件有强制性规定以及不可竞争部分以外，磋商报价应根据磋商文件中的有关计价要求，并按照下列依据</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根据工程实际情况和本企业经营管理水平自主合理报价，但不得低于企业成本价。</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color w:val="auto"/>
          <w:spacing w:val="0"/>
          <w:highlight w:val="none"/>
        </w:rPr>
      </w:pPr>
      <w:r>
        <w:rPr>
          <w:rFonts w:hint="eastAsia" w:ascii="宋体" w:hAnsi="宋体" w:cs="宋体"/>
          <w:color w:val="auto"/>
          <w:spacing w:val="0"/>
          <w:highlight w:val="none"/>
        </w:rPr>
        <w:t xml:space="preserve">本磋商文件(包括工程量清单)</w:t>
      </w:r>
      <w:r>
        <w:rPr>
          <w:rFonts w:hint="eastAsia" w:ascii="宋体" w:hAnsi="宋体" w:eastAsia="宋体" w:cs="宋体"/>
          <w:color w:val="auto"/>
          <w:spacing w:val="0"/>
          <w:highlight w:val="none"/>
        </w:rPr>
        <w:t xml:space="preserve">的澄清、补充和修改文件；</w:t>
      </w:r>
      <w:r/>
    </w:p>
    <w:p>
      <w:pPr>
        <w:numPr>
          <w:ilvl w:val="0"/>
          <w:numId w:val="3"/>
        </w:numPr>
        <w:ind w:left="0" w:firstLine="420"/>
        <w:jc w:val="left"/>
        <w:keepLines w:val="0"/>
        <w:keepNext w:val="0"/>
        <w:pageBreakBefore w:val="0"/>
        <w:spacing w:line="360" w:lineRule="auto"/>
        <w:widowControl w:val="off"/>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国家或省级、行业建设主管部门颁发的计价办法；</w:t>
      </w:r>
      <w:r>
        <w:rPr>
          <w:rFonts w:hint="eastAsia" w:ascii="宋体" w:hAnsi="宋体" w:eastAsia="宋体" w:cs="宋体"/>
          <w:color w:val="auto"/>
          <w:spacing w:val="0"/>
          <w:highlight w:val="none"/>
        </w:rPr>
        <w:t xml:space="preserve">《扬州工程造价管理》</w:t>
      </w:r>
      <w:r>
        <w:rPr>
          <w:rFonts w:hint="default" w:ascii="宋体" w:hAnsi="宋体" w:eastAsia="宋体" w:cs="宋体"/>
          <w:color w:val="auto"/>
          <w:spacing w:val="0"/>
          <w:highlight w:val="none"/>
          <w:lang w:val="en-US" w:eastAsia="zh-CN"/>
        </w:rPr>
        <w:t xml:space="preserve">202</w:t>
      </w:r>
      <w:r>
        <w:rPr>
          <w:rFonts w:hint="eastAsia" w:ascii="宋体" w:hAnsi="宋体" w:cs="宋体"/>
          <w:color w:val="auto"/>
          <w:spacing w:val="0"/>
          <w:highlight w:val="none"/>
          <w:lang w:val="en-US" w:eastAsia="zh-CN"/>
        </w:rPr>
        <w:t xml:space="preserve">5</w:t>
      </w:r>
      <w:r>
        <w:rPr>
          <w:rFonts w:hint="default" w:ascii="宋体" w:hAnsi="宋体" w:eastAsia="宋体" w:cs="宋体"/>
          <w:color w:val="auto"/>
          <w:spacing w:val="0"/>
          <w:highlight w:val="none"/>
          <w:lang w:val="en-US" w:eastAsia="zh-CN"/>
        </w:rPr>
        <w:t xml:space="preserve">年</w:t>
      </w:r>
      <w:r>
        <w:rPr>
          <w:rFonts w:hint="eastAsia" w:ascii="宋体" w:hAnsi="宋体" w:cs="宋体"/>
          <w:color w:val="auto"/>
          <w:spacing w:val="0"/>
          <w:highlight w:val="none"/>
          <w:lang w:val="en-US" w:eastAsia="zh-CN"/>
        </w:rPr>
        <w:t xml:space="preserve">9月</w:t>
      </w:r>
      <w:r>
        <w:rPr>
          <w:rFonts w:hint="default" w:ascii="宋体" w:hAnsi="宋体" w:eastAsia="宋体" w:cs="宋体"/>
          <w:color w:val="auto"/>
          <w:spacing w:val="0"/>
          <w:highlight w:val="none"/>
          <w:lang w:val="en-US" w:eastAsia="zh-CN"/>
        </w:rPr>
        <w:t xml:space="preserve">的</w:t>
      </w:r>
      <w:r>
        <w:rPr>
          <w:rFonts w:hint="eastAsia" w:ascii="宋体" w:hAnsi="宋体" w:eastAsia="宋体" w:cs="宋体"/>
          <w:color w:val="auto"/>
          <w:spacing w:val="0"/>
          <w:highlight w:val="none"/>
        </w:rPr>
        <w:t xml:space="preserve">（优先采用江都材料价格）指导价</w:t>
      </w:r>
      <w:r>
        <w:rPr>
          <w:rFonts w:hint="eastAsia" w:ascii="宋体" w:hAnsi="宋体" w:eastAsia="宋体" w:cs="宋体"/>
          <w:color w:val="auto"/>
          <w:spacing w:val="0"/>
          <w:highlight w:val="none"/>
        </w:rPr>
        <w:t xml:space="preserve">、缺项部分参照市场询价价格调整；扬州市现行的不可竞争费用内容及标准；现行的施工规范和标准；扬州市安全生产、文明施工的相关规定；</w:t>
      </w:r>
      <w:r/>
    </w:p>
    <w:p>
      <w:pPr>
        <w:numPr>
          <w:ilvl w:val="0"/>
          <w:numId w:val="3"/>
        </w:numPr>
        <w:ind w:left="0"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eastAsia="宋体" w:cs="宋体"/>
          <w:color w:val="auto"/>
          <w:spacing w:val="0"/>
          <w:highlight w:val="none"/>
        </w:rPr>
        <w:t xml:space="preserve">建设工程设计文件及相关资料；与建设项</w:t>
      </w:r>
      <w:r>
        <w:rPr>
          <w:rFonts w:hint="eastAsia" w:ascii="宋体" w:hAnsi="宋体" w:cs="宋体"/>
          <w:color w:val="auto"/>
          <w:spacing w:val="0"/>
          <w:highlight w:val="none"/>
        </w:rPr>
        <w:t xml:space="preserve">目相关的标准、规定等技术资料；</w:t>
      </w:r>
      <w:r/>
    </w:p>
    <w:p>
      <w:pPr>
        <w:numPr>
          <w:ilvl w:val="0"/>
          <w:numId w:val="3"/>
        </w:numPr>
        <w:ind w:left="0"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施工现场情况、工程特点及拟定的施工组织设计或施工方案；</w:t>
      </w:r>
      <w:r/>
    </w:p>
    <w:p>
      <w:pPr>
        <w:numPr>
          <w:ilvl w:val="0"/>
          <w:numId w:val="3"/>
        </w:numPr>
        <w:ind w:left="0"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其他的相关资料。</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10.4报价中单价、合价均采用人民币表示。已标价的工程量清单必须按照磋商文件所提供的格式填入，工程量清单中的每一子目须填入单价或价格，且只允许有一个报价。</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在按照工程量清单进行报价时，除</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图纸和采购范围的约定并不存在的子目，只要在采购人提供的分部分项工程量清单中已经列明，</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都需要对其报价，并纳入磋商总价的计算。</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10.5工程量清单成交价的单价或金额，应包括所需人工费、材料费、施工机械使用费和管理费及利润，以及一定范围内的风险费用。所谓“一定范围内的风险”是指合同约定的风险。</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10.6</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的磋商报价，应当包括完成提供的工程量清单范围内的所有项目以及与本项目相关的所需的全部费用，</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10.7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firstLine="420"/>
        <w:jc w:val="left"/>
        <w:keepLines w:val="0"/>
        <w:keepNext w:val="0"/>
        <w:pageBreakBefore w:val="0"/>
        <w:spacing w:line="360" w:lineRule="auto"/>
        <w:widowControl w:val="off"/>
        <w:rPr>
          <w:rFonts w:hint="eastAsia" w:ascii="宋体" w:hAnsi="宋体" w:cs="宋体"/>
          <w:i/>
          <w:iCs/>
          <w:color w:val="auto"/>
          <w:spacing w:val="0"/>
          <w:highlight w:val="none"/>
          <w:u w:val="single"/>
        </w:rPr>
      </w:pPr>
      <w:r>
        <w:rPr>
          <w:rFonts w:hint="eastAsia" w:ascii="宋体" w:hAnsi="宋体" w:cs="宋体"/>
          <w:i/>
          <w:iCs/>
          <w:color w:val="auto"/>
          <w:spacing w:val="0"/>
          <w:highlight w:val="none"/>
          <w:u w:val="single"/>
        </w:rPr>
        <w:t xml:space="preserve">10.8</w:t>
      </w:r>
      <w:r>
        <w:rPr>
          <w:rFonts w:hint="eastAsia" w:ascii="宋体" w:hAnsi="宋体" w:cs="宋体"/>
          <w:i/>
          <w:iCs/>
          <w:color w:val="auto"/>
          <w:spacing w:val="0"/>
          <w:highlight w:val="none"/>
          <w:u w:val="single"/>
          <w:lang w:val="en-US" w:eastAsia="zh-CN"/>
        </w:rPr>
        <w:t xml:space="preserve">供应商</w:t>
      </w:r>
      <w:r>
        <w:rPr>
          <w:rFonts w:hint="eastAsia" w:ascii="宋体" w:hAnsi="宋体" w:cs="宋体"/>
          <w:i/>
          <w:iCs/>
          <w:color w:val="auto"/>
          <w:spacing w:val="0"/>
          <w:highlight w:val="none"/>
          <w:u w:val="single"/>
        </w:rPr>
        <w:t xml:space="preserve">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10.9工程量清单报价中的项目单价与其数量相乘的总和，应与报价汇总表总价及磋商函中的磋商总价相符，不符时以单价数量的总和为准。</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10.10属可竞争费用由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自主报价的，须满足下列要求：</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10.11</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成交后根据本单位的最终总报价和首轮明细报价，自行调整各明细单价（原则上除不可竞争费外，其他各分项报价同比例下浮）直至合价和最终总报价（以</w:t>
      </w:r>
      <w:r>
        <w:rPr>
          <w:rFonts w:hint="eastAsia" w:ascii="宋体" w:hAnsi="宋体" w:cs="宋体"/>
          <w:color w:val="auto"/>
          <w:spacing w:val="0"/>
          <w:highlight w:val="none"/>
          <w:lang w:eastAsia="zh-CN"/>
        </w:rPr>
        <w:t xml:space="preserve">万</w:t>
      </w:r>
      <w:r>
        <w:rPr>
          <w:rFonts w:hint="eastAsia" w:ascii="宋体" w:hAnsi="宋体" w:cs="宋体"/>
          <w:color w:val="auto"/>
          <w:spacing w:val="0"/>
          <w:highlight w:val="none"/>
        </w:rPr>
        <w:t xml:space="preserve">元为单位，保留两位小数）相符，报采购人审核，审核通过后，后期根据审核后的明细报价，按实结算。</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11、磋商分项报价表即按照附件提供的工程量清单的格式进行填报，分别填报单价和合价，要求填报完整，漏报项视为价格已分摊到其他清单项中。</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 12、单价和总价均应包括但不限于所有设备、材料、税金、包装费、运杂费、保险费、卸力费、安装调试费、资料费、保修期内维修费用及咨询服务费等直至完全交付采购人使用的所有费用。</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13、</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应当按工程量清单中所提供的报价表文件格式填写，如不够用时，</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可按同样格式自行编制和添补。</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14、</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需积极主动地配合采购人进行施工完毕后验收，确保通过验收，若出现验收不合格的情况，</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需要重新返工直至通过验收合格，由此导致的返工费等相关其他费用，由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自行承担，并且采购人有权从工程款中扣除。</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15、</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应综合考虑与本项目有关的所有因素与风险，若出现缺项、漏项等情况，由</w:t>
      </w:r>
      <w:r>
        <w:rPr>
          <w:rFonts w:hint="eastAsia" w:ascii="宋体" w:hAnsi="宋体" w:cs="宋体"/>
          <w:color w:val="auto"/>
          <w:spacing w:val="0"/>
          <w:highlight w:val="none"/>
          <w:lang w:val="en-US" w:eastAsia="zh-CN"/>
        </w:rPr>
        <w:t xml:space="preserve">供应商</w:t>
      </w:r>
      <w:r>
        <w:rPr>
          <w:rFonts w:hint="eastAsia" w:ascii="宋体" w:hAnsi="宋体" w:cs="宋体"/>
          <w:color w:val="auto"/>
          <w:spacing w:val="0"/>
          <w:highlight w:val="none"/>
        </w:rPr>
        <w:t xml:space="preserve">自行承担。</w:t>
      </w:r>
      <w:r/>
    </w:p>
    <w:p>
      <w:pPr>
        <w:ind w:firstLine="422"/>
        <w:jc w:val="left"/>
        <w:keepLines w:val="0"/>
        <w:keepNext w:val="0"/>
        <w:pageBreakBefore w:val="0"/>
        <w:spacing w:line="360" w:lineRule="auto"/>
        <w:widowControl w:val="off"/>
        <w:rPr>
          <w:rFonts w:ascii="宋体" w:hAnsi="宋体" w:cs="宋体"/>
          <w:b/>
          <w:bCs/>
          <w:color w:val="auto"/>
          <w:spacing w:val="0"/>
          <w:highlight w:val="none"/>
        </w:rPr>
      </w:pPr>
      <w:r>
        <w:rPr>
          <w:rFonts w:hint="eastAsia" w:ascii="宋体" w:hAnsi="宋体" w:cs="宋体"/>
          <w:b/>
          <w:bCs/>
          <w:color w:val="auto"/>
          <w:spacing w:val="0"/>
          <w:highlight w:val="none"/>
        </w:rPr>
        <w:t xml:space="preserve">四</w:t>
      </w:r>
      <w:r>
        <w:rPr>
          <w:rFonts w:hint="eastAsia" w:ascii="宋体" w:hAnsi="宋体" w:cs="宋体"/>
          <w:b/>
          <w:bCs/>
          <w:color w:val="auto"/>
          <w:spacing w:val="0"/>
          <w:highlight w:val="none"/>
          <w:lang w:eastAsia="zh-CN"/>
        </w:rPr>
        <w:t xml:space="preserve">、</w:t>
      </w:r>
      <w:r>
        <w:rPr>
          <w:rFonts w:hint="eastAsia" w:ascii="宋体" w:hAnsi="宋体" w:cs="宋体"/>
          <w:b/>
          <w:bCs/>
          <w:color w:val="auto"/>
          <w:spacing w:val="0"/>
          <w:highlight w:val="none"/>
        </w:rPr>
        <w:t xml:space="preserve">勘察现场 </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1、考虑到本工程实际情况，</w:t>
      </w:r>
      <w:r>
        <w:rPr>
          <w:rFonts w:hint="eastAsia" w:ascii="宋体" w:hAnsi="宋体" w:cs="宋体"/>
          <w:color w:val="auto"/>
          <w:spacing w:val="0"/>
          <w:highlight w:val="none"/>
          <w:lang w:eastAsia="zh-CN"/>
        </w:rPr>
        <w:t xml:space="preserve">供应商</w:t>
      </w:r>
      <w:r>
        <w:rPr>
          <w:rFonts w:hint="eastAsia" w:ascii="宋体" w:hAnsi="宋体" w:cs="宋体"/>
          <w:color w:val="auto"/>
          <w:spacing w:val="0"/>
          <w:highlight w:val="none"/>
        </w:rPr>
        <w:t xml:space="preserve">应对工程施工现场场地条件和周围环境进行勘察，以获取编制</w:t>
      </w:r>
      <w:r>
        <w:rPr>
          <w:rFonts w:hint="eastAsia" w:ascii="宋体" w:hAnsi="宋体" w:cs="宋体"/>
          <w:color w:val="auto"/>
          <w:spacing w:val="0"/>
          <w:highlight w:val="none"/>
          <w:lang w:eastAsia="zh-CN"/>
        </w:rPr>
        <w:t xml:space="preserve">响应</w:t>
      </w:r>
      <w:r>
        <w:rPr>
          <w:rFonts w:hint="eastAsia" w:ascii="宋体" w:hAnsi="宋体" w:cs="宋体"/>
          <w:color w:val="auto"/>
          <w:spacing w:val="0"/>
          <w:highlight w:val="none"/>
        </w:rPr>
        <w:t xml:space="preserve">文件和签署合同所需的所有资料，勘察现场所发生的费用由</w:t>
      </w:r>
      <w:r>
        <w:rPr>
          <w:rFonts w:hint="eastAsia" w:ascii="宋体" w:hAnsi="宋体" w:cs="宋体"/>
          <w:color w:val="auto"/>
          <w:spacing w:val="0"/>
          <w:highlight w:val="none"/>
          <w:lang w:eastAsia="zh-CN"/>
        </w:rPr>
        <w:t xml:space="preserve">供应商</w:t>
      </w:r>
      <w:r>
        <w:rPr>
          <w:rFonts w:hint="eastAsia" w:ascii="宋体" w:hAnsi="宋体" w:cs="宋体"/>
          <w:color w:val="auto"/>
          <w:spacing w:val="0"/>
          <w:highlight w:val="none"/>
        </w:rPr>
        <w:t xml:space="preserve">承担，在踏勘现场中所发生的人员伤亡和财产损失由</w:t>
      </w:r>
      <w:r>
        <w:rPr>
          <w:rFonts w:hint="eastAsia" w:ascii="宋体" w:hAnsi="宋体" w:cs="宋体"/>
          <w:color w:val="auto"/>
          <w:spacing w:val="0"/>
          <w:highlight w:val="none"/>
          <w:lang w:eastAsia="zh-CN"/>
        </w:rPr>
        <w:t xml:space="preserve">供应商</w:t>
      </w:r>
      <w:r>
        <w:rPr>
          <w:rFonts w:hint="eastAsia" w:ascii="宋体" w:hAnsi="宋体" w:cs="宋体"/>
          <w:color w:val="auto"/>
          <w:spacing w:val="0"/>
          <w:highlight w:val="none"/>
        </w:rPr>
        <w:t xml:space="preserve">自行负责。</w:t>
      </w:r>
      <w:r/>
    </w:p>
    <w:p>
      <w:pPr>
        <w:ind w:firstLine="420"/>
        <w:jc w:val="left"/>
        <w:keepLines w:val="0"/>
        <w:keepNext w:val="0"/>
        <w:pageBreakBefore w:val="0"/>
        <w:spacing w:line="360" w:lineRule="auto"/>
        <w:widowControl w:val="off"/>
        <w:rPr>
          <w:rFonts w:ascii="宋体" w:hAnsi="宋体" w:cs="宋体"/>
          <w:color w:val="auto"/>
          <w:spacing w:val="0"/>
          <w:highlight w:val="none"/>
        </w:rPr>
      </w:pPr>
      <w:r>
        <w:rPr>
          <w:rFonts w:hint="eastAsia" w:ascii="宋体" w:hAnsi="宋体" w:cs="宋体"/>
          <w:color w:val="auto"/>
          <w:spacing w:val="0"/>
          <w:highlight w:val="none"/>
        </w:rPr>
        <w:t xml:space="preserve">2、</w:t>
      </w:r>
      <w:r>
        <w:rPr>
          <w:rFonts w:hint="eastAsia" w:ascii="宋体" w:hAnsi="宋体" w:cs="宋体"/>
          <w:color w:val="auto"/>
          <w:spacing w:val="0"/>
          <w:highlight w:val="none"/>
          <w:lang w:eastAsia="zh-CN"/>
        </w:rPr>
        <w:t xml:space="preserve">供应商</w:t>
      </w:r>
      <w:r>
        <w:rPr>
          <w:rFonts w:hint="eastAsia" w:ascii="宋体" w:hAnsi="宋体" w:cs="宋体"/>
          <w:color w:val="auto"/>
          <w:spacing w:val="0"/>
          <w:highlight w:val="none"/>
        </w:rPr>
        <w:t xml:space="preserve">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ind w:firstLine="643"/>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评审标准</w:t>
      </w:r>
      <w:r/>
    </w:p>
    <w:p>
      <w:pPr>
        <w:pStyle w:val="1017"/>
        <w:ind w:firstLine="482"/>
        <w:spacing w:before="0" w:after="0"/>
        <w:rPr>
          <w:rFonts w:ascii="宋体" w:hAnsi="宋体" w:cs="宋体"/>
          <w:b/>
          <w:color w:val="auto"/>
          <w:sz w:val="21"/>
          <w:szCs w:val="21"/>
          <w:highlight w:val="none"/>
        </w:rPr>
      </w:pPr>
      <w:r>
        <w:rPr>
          <w:rFonts w:hint="eastAsia" w:ascii="宋体" w:hAnsi="宋体" w:cs="宋体"/>
          <w:b/>
          <w:bCs/>
          <w:color w:val="auto"/>
          <w:highlight w:val="none"/>
        </w:rPr>
        <w:t xml:space="preserve"> </w:t>
      </w:r>
      <w:r>
        <w:rPr>
          <w:rFonts w:hint="eastAsia" w:ascii="宋体" w:hAnsi="宋体" w:cs="宋体"/>
          <w:b/>
          <w:color w:val="auto"/>
          <w:sz w:val="21"/>
          <w:szCs w:val="21"/>
          <w:highlight w:val="none"/>
        </w:rPr>
        <w:t xml:space="preserve">一、评标方法</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二、政府采购政策功能落实</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（1）本项目对小型和微型企业产品给予20%（工程5%）的扣除价格，用扣除后的价格参与评审。</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（1）本项目对残疾人福利性单位视同小型、微型企业，给予20%（工程5%）的价格扣除，用扣除后的价格参与评审。</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w:t>
      </w:r>
      <w:r/>
    </w:p>
    <w:p>
      <w:pPr>
        <w:pStyle w:val="101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〔2017〕141号）。</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（1）本项目对监狱和戒毒企业（简称监狱企业）视同小型、微型企业，给予20%（工程5%）的价格扣除，用扣除后的价格参与评审。</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w:t>
      </w:r>
      <w:r/>
    </w:p>
    <w:p>
      <w:pPr>
        <w:pStyle w:val="101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疆生产建设兵团)出具的属于监狱企业的证明文件。供应商如不提供上述证明文件，价格将不做相应扣除。</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017"/>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6、联合体各方均为小型、微型企业（残疾人福利单位、监狱企业）的，联合体享受20%（工程5%）价格扣除，用扣除后的价格参与评审。</w:t>
      </w:r>
      <w:r/>
    </w:p>
    <w:p>
      <w:pPr>
        <w:pStyle w:val="1017"/>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75"/>
        <w:tblpPr w:horzAnchor="page" w:tblpX="1760" w:vertAnchor="text" w:tblpY="446" w:leftFromText="180" w:topFromText="0" w:rightFromText="180" w:bottomFromText="0"/>
        <w:tblW w:w="8837" w:type="dxa"/>
        <w:tblInd w:w="0" w:type="dxa"/>
        <w:tblLayout w:type="autofit"/>
        <w:tblCellMar>
          <w:left w:w="0" w:type="dxa"/>
          <w:top w:w="0" w:type="dxa"/>
          <w:right w:w="0" w:type="dxa"/>
          <w:bottom w:w="0" w:type="dxa"/>
        </w:tblCellMar>
        <w:tblLook w:val="04A0" w:firstRow="1" w:lastRow="0" w:firstColumn="1" w:lastColumn="0" w:noHBand="0" w:noVBand="1"/>
      </w:tblPr>
      <w:tblGrid>
        <w:gridCol w:w="1069"/>
        <w:gridCol w:w="1312"/>
        <w:gridCol w:w="6456"/>
      </w:tblGrid>
      <w:tr>
        <w:trPr>
          <w:trHeight w:val="446"/>
        </w:trPr>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1069" w:type="dxa"/>
            <w:vAlign w:val="center"/>
            <w:textDirection w:val="lrTb"/>
            <w:noWrap w:val="false"/>
          </w:tcPr>
          <w:p>
            <w:pPr>
              <w:ind w:left="420" w:hanging="420"/>
              <w:jc w:val="center"/>
              <w:spacing w:line="360" w:lineRule="auto"/>
              <w:rPr>
                <w:rFonts w:ascii="宋体" w:hAnsi="宋体" w:cs="宋体"/>
                <w:b/>
                <w:bCs/>
                <w:color w:val="auto"/>
                <w:spacing w:val="0"/>
                <w:highlight w:val="none"/>
              </w:rPr>
            </w:pPr>
            <w:r>
              <w:rPr>
                <w:rFonts w:hint="eastAsia" w:ascii="宋体" w:hAnsi="宋体" w:cs="宋体"/>
                <w:b/>
                <w:bCs/>
                <w:color w:val="auto"/>
                <w:spacing w:val="0"/>
                <w:highlight w:val="none"/>
              </w:rPr>
              <w:t xml:space="preserve">项目</w:t>
            </w:r>
            <w:r/>
          </w:p>
        </w:tc>
        <w:tc>
          <w:tcPr>
            <w:gridSpan w:val="2"/>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7768" w:type="dxa"/>
            <w:vAlign w:val="center"/>
            <w:textDirection w:val="lrTb"/>
            <w:noWrap w:val="false"/>
          </w:tcPr>
          <w:p>
            <w:pPr>
              <w:ind w:left="420" w:hanging="420"/>
              <w:jc w:val="center"/>
              <w:spacing w:line="360" w:lineRule="auto"/>
              <w:rPr>
                <w:rFonts w:ascii="宋体" w:hAnsi="宋体" w:cs="宋体"/>
                <w:b/>
                <w:bCs/>
                <w:color w:val="auto"/>
                <w:spacing w:val="0"/>
                <w:highlight w:val="none"/>
              </w:rPr>
            </w:pPr>
            <w:r>
              <w:rPr>
                <w:rFonts w:hint="eastAsia" w:ascii="宋体" w:hAnsi="宋体" w:cs="宋体"/>
                <w:b/>
                <w:bCs/>
                <w:color w:val="auto"/>
                <w:spacing w:val="0"/>
                <w:highlight w:val="none"/>
              </w:rPr>
              <w:t xml:space="preserve">评分标准</w:t>
            </w:r>
            <w:r/>
          </w:p>
        </w:tc>
      </w:tr>
      <w:tr>
        <w:trPr>
          <w:trHeight w:val="947"/>
        </w:trPr>
        <w:tc>
          <w:tcPr>
            <w:shd w:val="clear" w:color="auto" w:fill="auto"/>
            <w:tcBorders>
              <w:top w:val="single" w:color="000000" w:sz="4" w:space="0"/>
              <w:left w:val="single" w:color="000000" w:sz="4" w:space="0"/>
              <w:bottom w:val="single" w:color="000000" w:sz="4" w:space="0"/>
              <w:right w:val="single" w:color="000000" w:sz="4" w:space="0"/>
            </w:tcBorders>
            <w:tcMar>
              <w:left w:w="8" w:type="dxa"/>
              <w:top w:w="8" w:type="dxa"/>
              <w:right w:w="8" w:type="dxa"/>
            </w:tcMar>
            <w:tcW w:w="1069" w:type="dxa"/>
            <w:vAlign w:val="center"/>
            <w:textDirection w:val="lrTb"/>
            <w:noWrap w:val="false"/>
          </w:tcPr>
          <w:p>
            <w:pPr>
              <w:pStyle w:val="1017"/>
              <w:ind w:firstLine="0"/>
              <w:jc w:val="center"/>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价格</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（30分）</w:t>
            </w:r>
            <w:r/>
          </w:p>
        </w:tc>
        <w:tc>
          <w:tcPr>
            <w:gridSpan w:val="2"/>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7768"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以满足磋商文件要求且最后报价最低的供应商的价格为磋商基准价，其价格分为满分30分。其他供应商的价格分统一按照下列公示计算</w:t>
            </w:r>
            <w:r/>
          </w:p>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投标报价得分＝（磋商基准价/最后磋商报价）×30（保留2位小数）</w:t>
            </w:r>
            <w:r/>
          </w:p>
        </w:tc>
      </w:tr>
      <w:tr>
        <w:trPr>
          <w:trHeight w:val="947"/>
        </w:trPr>
        <w:tc>
          <w:tcPr>
            <w:shd w:val="clear" w:color="auto" w:fill="auto"/>
            <w:tcBorders>
              <w:top w:val="single" w:color="000000" w:sz="4" w:space="0"/>
              <w:left w:val="single" w:color="000000" w:sz="4" w:space="0"/>
              <w:right w:val="single" w:color="000000" w:sz="4" w:space="0"/>
            </w:tcBorders>
            <w:tcMar>
              <w:left w:w="8" w:type="dxa"/>
              <w:top w:w="8" w:type="dxa"/>
              <w:right w:w="8" w:type="dxa"/>
            </w:tcMar>
            <w:tcW w:w="1069" w:type="dxa"/>
            <w:vAlign w:val="center"/>
            <w:vMerge w:val="restart"/>
            <w:textDirection w:val="lrTb"/>
            <w:noWrap w:val="false"/>
          </w:tcPr>
          <w:p>
            <w:pPr>
              <w:pStyle w:val="1017"/>
              <w:ind w:firstLine="0"/>
              <w:jc w:val="center"/>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施工组织设计</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55</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施工总体部署方案</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对工程总承包的总体设想、组织形式、各项管理目标及控制措施、设计、施工实施计划、设计与施工的协调措施等</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5</w:t>
            </w:r>
            <w:r>
              <w:rPr>
                <w:rFonts w:hint="eastAsia" w:ascii="宋体" w:hAnsi="宋体" w:cs="宋体"/>
                <w:color w:val="auto"/>
                <w:spacing w:val="0"/>
                <w:sz w:val="21"/>
                <w:szCs w:val="21"/>
                <w:highlight w:val="none"/>
              </w:rPr>
              <w:t xml:space="preserve">分；不完全、响应度低、技术可行性低得</w:t>
            </w:r>
            <w:r>
              <w:rPr>
                <w:rFonts w:hint="eastAsia" w:ascii="宋体" w:hAnsi="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rPr>
              <w:t xml:space="preserve">分；不提供不得分。</w:t>
            </w:r>
            <w:r/>
          </w:p>
        </w:tc>
      </w:tr>
      <w:tr>
        <w:trPr>
          <w:trHeight w:val="947"/>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主要施工方法（</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视施工方案的合理性和有效性，细致全面、合理、完全响应需求，技术可行性强得</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5</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455"/>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工期保证措施（</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工作人员安排计划合理，组织管理体系科学，科学合理的组织计划保证工程的工期进度，细致全面、合理、完全响应需求，技术可行性强得</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5</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1032"/>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hint="eastAsia" w:ascii="宋体" w:hAnsi="宋体" w:eastAsia="宋体" w:cs="宋体"/>
                <w:color w:val="auto"/>
                <w:spacing w:val="0"/>
                <w:sz w:val="21"/>
                <w:szCs w:val="21"/>
                <w:highlight w:val="none"/>
                <w:lang w:eastAsia="zh-CN"/>
              </w:rPr>
            </w:pPr>
            <w:r>
              <w:rPr>
                <w:rFonts w:hint="eastAsia" w:ascii="宋体" w:hAnsi="宋体" w:cs="宋体"/>
                <w:color w:val="auto"/>
                <w:spacing w:val="0"/>
                <w:sz w:val="21"/>
                <w:szCs w:val="21"/>
                <w:highlight w:val="none"/>
              </w:rPr>
              <w:t xml:space="preserve">质量</w:t>
            </w:r>
            <w:r>
              <w:rPr>
                <w:rFonts w:hint="eastAsia" w:ascii="宋体" w:hAnsi="宋体" w:cs="宋体"/>
                <w:color w:val="auto"/>
                <w:spacing w:val="0"/>
                <w:sz w:val="21"/>
                <w:szCs w:val="21"/>
                <w:highlight w:val="none"/>
                <w:lang w:eastAsia="zh-CN"/>
              </w:rPr>
              <w:t xml:space="preserve">保证措施</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能够有效实施管理工作，采取科学合理的措施保证工程的质量，细致全面、合理、完全响应需求，技术可行性强得</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5</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947"/>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安全施工措施（</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提供安全保证体系及安全防护措施，细致全面、合理、完全响应需求，技术可行性强得</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5</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947"/>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劳动力、机械设备和材料投入计划（</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劳动力、机械设备和材料投入计划合理，组织管理体系科学，细致全面、合理、完全响应需求，技术可行性强得</w:t>
            </w:r>
            <w:r>
              <w:rPr>
                <w:rFonts w:hint="eastAsia" w:ascii="宋体" w:hAnsi="宋体" w:cs="宋体"/>
                <w:color w:val="auto"/>
                <w:spacing w:val="0"/>
                <w:sz w:val="21"/>
                <w:szCs w:val="21"/>
                <w:highlight w:val="none"/>
                <w:lang w:val="en-US" w:eastAsia="zh-CN"/>
              </w:rPr>
              <w:t xml:space="preserve">8</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5</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90"/>
        </w:trPr>
        <w:tc>
          <w:tcPr>
            <w:shd w:val="clear" w:color="auto" w:fill="auto"/>
            <w:tcBorders>
              <w:left w:val="single" w:color="000000" w:sz="4" w:space="0"/>
              <w:bottom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结合本工程特点的针对性措施（</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投标人根据行业经验及结合本工程关键施工技术、工艺及工程项目实施的重点、难点和解决方案，细致全面、合理、完全响应需求，技术可行性强得</w:t>
            </w:r>
            <w:r>
              <w:rPr>
                <w:rFonts w:hint="eastAsia" w:ascii="宋体" w:hAnsi="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rPr>
              <w:t xml:space="preserve">分；较为完整、基本响应需求的得</w:t>
            </w:r>
            <w:r>
              <w:rPr>
                <w:rFonts w:hint="eastAsia" w:ascii="宋体" w:hAnsi="宋体" w:cs="宋体"/>
                <w:color w:val="auto"/>
                <w:spacing w:val="0"/>
                <w:sz w:val="21"/>
                <w:szCs w:val="21"/>
                <w:highlight w:val="none"/>
                <w:lang w:val="en-US" w:eastAsia="zh-CN"/>
              </w:rPr>
              <w:t xml:space="preserve">4</w:t>
            </w:r>
            <w:r>
              <w:rPr>
                <w:rFonts w:hint="eastAsia" w:ascii="宋体" w:hAnsi="宋体" w:cs="宋体"/>
                <w:color w:val="auto"/>
                <w:spacing w:val="0"/>
                <w:sz w:val="21"/>
                <w:szCs w:val="21"/>
                <w:highlight w:val="none"/>
              </w:rPr>
              <w:t xml:space="preserve">分；不完全、响应度低、技术可行性低得2分；不提供不得分。</w:t>
            </w:r>
            <w:r/>
          </w:p>
        </w:tc>
      </w:tr>
      <w:tr>
        <w:trPr>
          <w:trHeight w:val="947"/>
        </w:trPr>
        <w:tc>
          <w:tcPr>
            <w:shd w:val="clear" w:color="auto" w:fill="auto"/>
            <w:tcBorders>
              <w:left w:val="single" w:color="000000" w:sz="4" w:space="0"/>
              <w:right w:val="single" w:color="000000" w:sz="4" w:space="0"/>
            </w:tcBorders>
            <w:tcMar>
              <w:left w:w="8" w:type="dxa"/>
              <w:top w:w="8" w:type="dxa"/>
              <w:right w:w="8" w:type="dxa"/>
            </w:tcMar>
            <w:tcW w:w="1069" w:type="dxa"/>
            <w:vAlign w:val="center"/>
            <w:vMerge w:val="restart"/>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企业实力（</w:t>
            </w:r>
            <w:r>
              <w:rPr>
                <w:rFonts w:hint="eastAsia" w:ascii="宋体" w:hAnsi="宋体" w:cs="宋体"/>
                <w:color w:val="auto"/>
                <w:spacing w:val="0"/>
                <w:sz w:val="21"/>
                <w:szCs w:val="21"/>
                <w:highlight w:val="none"/>
                <w:lang w:val="en-US" w:eastAsia="zh-CN"/>
              </w:rPr>
              <w:t xml:space="preserve">13</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体系认证</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3</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vAlign w:val="center"/>
            <w:textDirection w:val="lrTb"/>
            <w:noWrap w:val="false"/>
          </w:tcPr>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供应商具备有效期内的质量管理体系证书、环境管理体系证书、职业健康安全管理体系证书，每具有一项证书得1分</w:t>
            </w: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rPr>
              <w:t xml:space="preserve">满分得3分。</w:t>
            </w: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rPr>
              <w:t xml:space="preserve">须提供国家市场监督管理总局全国认证认可信息公共服务平台查询截图</w:t>
            </w:r>
            <w:r>
              <w:rPr>
                <w:rFonts w:hint="eastAsia" w:ascii="宋体" w:hAnsi="宋体" w:cs="宋体"/>
                <w:color w:val="auto"/>
                <w:spacing w:val="0"/>
                <w:sz w:val="21"/>
                <w:szCs w:val="21"/>
                <w:highlight w:val="none"/>
                <w:lang w:eastAsia="zh-CN"/>
              </w:rPr>
              <w:t xml:space="preserve">（公示状态须为“有效”）</w:t>
            </w:r>
            <w:r>
              <w:rPr>
                <w:rFonts w:hint="eastAsia" w:ascii="宋体" w:hAnsi="宋体" w:cs="宋体"/>
                <w:color w:val="auto"/>
                <w:spacing w:val="0"/>
                <w:sz w:val="21"/>
                <w:szCs w:val="21"/>
                <w:highlight w:val="none"/>
              </w:rPr>
              <w:t xml:space="preserve">及证书原件扫描上传，关键信息模糊或未提供的不得分</w:t>
            </w:r>
            <w:r>
              <w:rPr>
                <w:rFonts w:hint="eastAsia" w:ascii="宋体" w:hAnsi="宋体" w:cs="宋体"/>
                <w:color w:val="auto"/>
                <w:spacing w:val="0"/>
                <w:sz w:val="21"/>
                <w:szCs w:val="21"/>
                <w:highlight w:val="none"/>
                <w:lang w:eastAsia="zh-CN"/>
              </w:rPr>
              <w:t xml:space="preserve">】</w:t>
            </w:r>
            <w:r/>
          </w:p>
        </w:tc>
      </w:tr>
      <w:tr>
        <w:trPr>
          <w:trHeight w:val="947"/>
        </w:trPr>
        <w:tc>
          <w:tcPr>
            <w:shd w:val="clear" w:color="auto" w:fill="auto"/>
            <w:tcBorders>
              <w:left w:val="single" w:color="000000" w:sz="4" w:space="0"/>
              <w:bottom w:val="single" w:color="000000" w:sz="4" w:space="0"/>
              <w:right w:val="single" w:color="000000" w:sz="4" w:space="0"/>
            </w:tcBorders>
            <w:tcMar>
              <w:left w:w="8" w:type="dxa"/>
              <w:top w:w="8" w:type="dxa"/>
              <w:right w:w="8" w:type="dxa"/>
            </w:tcMar>
            <w:tcW w:w="1069" w:type="dxa"/>
            <w:vAlign w:val="center"/>
            <w:vMerge w:val="continue"/>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ascii="宋体" w:hAnsi="宋体" w:cs="宋体"/>
                <w:color w:val="auto"/>
                <w:spacing w:val="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1312" w:type="dxa"/>
            <w:vAlign w:val="center"/>
            <w:textDirection w:val="lrTb"/>
            <w:noWrap w:val="false"/>
          </w:tcPr>
          <w:p>
            <w:pPr>
              <w:pStyle w:val="1017"/>
              <w:ind w:firstLine="0"/>
              <w:jc w:val="center"/>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企业业绩</w:t>
            </w:r>
            <w:r/>
          </w:p>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10</w:t>
            </w:r>
            <w:r>
              <w:rPr>
                <w:rFonts w:hint="eastAsia" w:ascii="宋体" w:hAnsi="宋体" w:cs="宋体"/>
                <w:color w:val="auto"/>
                <w:spacing w:val="0"/>
                <w:sz w:val="21"/>
                <w:szCs w:val="21"/>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6456" w:type="dxa"/>
            <w:textDirection w:val="lrTb"/>
            <w:noWrap w:val="false"/>
          </w:tcPr>
          <w:p>
            <w:pPr>
              <w:pStyle w:val="1017"/>
              <w:ind w:firstLine="0"/>
              <w:spacing w:before="0" w:after="0"/>
              <w:rPr>
                <w:rFonts w:hint="eastAsia"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202</w:t>
            </w:r>
            <w:r>
              <w:rPr>
                <w:rFonts w:hint="eastAsia" w:ascii="宋体" w:hAnsi="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rPr>
              <w:t xml:space="preserve">年1月1日以来，投标人承担过类似工程业绩的有一个得2分，最高得</w:t>
            </w:r>
            <w:r>
              <w:rPr>
                <w:rFonts w:hint="eastAsia" w:ascii="宋体" w:hAnsi="宋体" w:cs="宋体"/>
                <w:color w:val="auto"/>
                <w:spacing w:val="0"/>
                <w:sz w:val="21"/>
                <w:szCs w:val="21"/>
                <w:highlight w:val="none"/>
                <w:lang w:val="en-US" w:eastAsia="zh-CN"/>
              </w:rPr>
              <w:t xml:space="preserve">10</w:t>
            </w:r>
            <w:r>
              <w:rPr>
                <w:rFonts w:hint="eastAsia" w:ascii="宋体" w:hAnsi="宋体" w:cs="宋体"/>
                <w:color w:val="auto"/>
                <w:spacing w:val="0"/>
                <w:sz w:val="21"/>
                <w:szCs w:val="21"/>
                <w:highlight w:val="none"/>
              </w:rPr>
              <w:t xml:space="preserve">分。</w:t>
            </w:r>
            <w:r/>
          </w:p>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（业绩时间以</w:t>
            </w:r>
            <w:r>
              <w:rPr>
                <w:rFonts w:hint="eastAsia" w:ascii="宋体" w:hAnsi="宋体" w:cs="宋体"/>
                <w:color w:val="auto"/>
                <w:spacing w:val="0"/>
                <w:sz w:val="21"/>
                <w:szCs w:val="21"/>
                <w:highlight w:val="none"/>
                <w:lang w:val="en-US" w:eastAsia="zh-CN"/>
              </w:rPr>
              <w:t xml:space="preserve">合同签订</w:t>
            </w:r>
            <w:r>
              <w:rPr>
                <w:rFonts w:hint="eastAsia" w:ascii="宋体" w:hAnsi="宋体" w:cs="宋体"/>
                <w:color w:val="auto"/>
                <w:spacing w:val="0"/>
                <w:sz w:val="21"/>
                <w:szCs w:val="21"/>
                <w:highlight w:val="none"/>
              </w:rPr>
              <w:t xml:space="preserve">时间为准</w:t>
            </w: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rPr>
              <w:t xml:space="preserve">须提供施工合同</w:t>
            </w:r>
            <w:r>
              <w:rPr>
                <w:rFonts w:hint="eastAsia" w:ascii="宋体" w:hAnsi="宋体" w:cs="宋体"/>
                <w:color w:val="auto"/>
                <w:spacing w:val="0"/>
                <w:sz w:val="21"/>
                <w:szCs w:val="21"/>
                <w:highlight w:val="none"/>
                <w:lang w:eastAsia="zh-CN"/>
              </w:rPr>
              <w:t xml:space="preserve">原件扫描件上传，</w:t>
            </w:r>
            <w:r>
              <w:rPr>
                <w:rFonts w:hint="eastAsia" w:ascii="宋体" w:hAnsi="宋体" w:cs="宋体"/>
                <w:color w:val="auto"/>
                <w:spacing w:val="0"/>
                <w:sz w:val="21"/>
                <w:szCs w:val="21"/>
                <w:highlight w:val="none"/>
                <w:lang w:val="en-US" w:eastAsia="zh-CN"/>
              </w:rPr>
              <w:t xml:space="preserve">未提供不得分</w:t>
            </w:r>
            <w:r>
              <w:rPr>
                <w:rFonts w:hint="eastAsia" w:ascii="宋体" w:hAnsi="宋体" w:cs="宋体"/>
                <w:color w:val="auto"/>
                <w:spacing w:val="0"/>
                <w:sz w:val="21"/>
                <w:szCs w:val="21"/>
                <w:highlight w:val="none"/>
              </w:rPr>
              <w:t xml:space="preserve">）</w:t>
            </w:r>
            <w:r/>
          </w:p>
        </w:tc>
      </w:tr>
      <w:tr>
        <w:trPr>
          <w:trHeight w:val="947"/>
        </w:trPr>
        <w:tc>
          <w:tcPr>
            <w:shd w:val="clear" w:color="auto" w:fill="auto"/>
            <w:tcBorders>
              <w:left w:val="single" w:color="000000" w:sz="4" w:space="0"/>
              <w:bottom w:val="single" w:color="000000" w:sz="4" w:space="0"/>
              <w:right w:val="single" w:color="000000" w:sz="4" w:space="0"/>
            </w:tcBorders>
            <w:tcMar>
              <w:left w:w="8" w:type="dxa"/>
              <w:top w:w="8" w:type="dxa"/>
              <w:right w:w="8" w:type="dxa"/>
            </w:tcMar>
            <w:tcW w:w="1069" w:type="dxa"/>
            <w:vAlign w:val="center"/>
            <w:textDirection w:val="lrTb"/>
            <w:noWrap w:val="false"/>
          </w:tcPr>
          <w:p>
            <w:pPr>
              <w:pStyle w:val="1017"/>
              <w:ind w:firstLine="0"/>
              <w:jc w:val="center"/>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rPr>
              <w:t xml:space="preserve">项目管理机构（</w:t>
            </w:r>
            <w:r>
              <w:rPr>
                <w:rFonts w:hint="eastAsia" w:ascii="宋体" w:hAnsi="宋体" w:cs="宋体"/>
                <w:color w:val="auto"/>
                <w:spacing w:val="0"/>
                <w:sz w:val="21"/>
                <w:szCs w:val="21"/>
                <w:highlight w:val="none"/>
                <w:lang w:val="en-US" w:eastAsia="zh-CN"/>
              </w:rPr>
              <w:t xml:space="preserve">2分</w:t>
            </w:r>
            <w:r>
              <w:rPr>
                <w:rFonts w:hint="eastAsia" w:ascii="宋体" w:hAnsi="宋体" w:cs="宋体"/>
                <w:color w:val="auto"/>
                <w:spacing w:val="0"/>
                <w:sz w:val="21"/>
                <w:szCs w:val="21"/>
                <w:highlight w:val="none"/>
              </w:rPr>
              <w:t xml:space="preserve">）</w:t>
            </w:r>
            <w:r/>
          </w:p>
        </w:tc>
        <w:tc>
          <w:tcPr>
            <w:gridSpan w:val="2"/>
            <w:shd w:val="clear" w:color="auto" w:fill="auto"/>
            <w:tcBorders>
              <w:top w:val="single" w:color="000000" w:sz="4" w:space="0"/>
              <w:left w:val="none" w:color="000000" w:sz="4" w:space="0"/>
              <w:bottom w:val="single" w:color="000000" w:sz="4" w:space="0"/>
              <w:right w:val="single" w:color="000000" w:sz="4" w:space="0"/>
            </w:tcBorders>
            <w:tcMar>
              <w:left w:w="8" w:type="dxa"/>
              <w:top w:w="8" w:type="dxa"/>
              <w:right w:w="8" w:type="dxa"/>
            </w:tcMar>
            <w:tcW w:w="7768" w:type="dxa"/>
            <w:vAlign w:val="center"/>
            <w:textDirection w:val="lrTb"/>
            <w:noWrap w:val="false"/>
          </w:tcPr>
          <w:p>
            <w:pPr>
              <w:pStyle w:val="1017"/>
              <w:numPr>
                <w:ilvl w:val="0"/>
                <w:numId w:val="0"/>
              </w:numPr>
              <w:spacing w:before="0" w:after="0"/>
              <w:rPr>
                <w:rFonts w:hint="eastAsia" w:ascii="宋体" w:hAnsi="宋体" w:eastAsia="宋体" w:cs="宋体"/>
                <w:color w:val="auto"/>
                <w:spacing w:val="0"/>
                <w:sz w:val="21"/>
                <w:szCs w:val="21"/>
                <w:highlight w:val="none"/>
                <w:lang w:eastAsia="zh-CN"/>
              </w:rPr>
            </w:pPr>
            <w:r>
              <w:rPr>
                <w:rFonts w:hint="eastAsia" w:ascii="宋体" w:hAnsi="宋体" w:cs="宋体"/>
                <w:color w:val="auto"/>
                <w:spacing w:val="0"/>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项目组成员中每具有1名工程类中级及以上技术职称的得2分，此项最多得2分</w:t>
            </w:r>
            <w:r>
              <w:rPr>
                <w:rFonts w:hint="eastAsia" w:ascii="宋体" w:hAnsi="宋体" w:cs="宋体"/>
                <w:color w:val="auto"/>
                <w:sz w:val="21"/>
                <w:szCs w:val="21"/>
                <w:highlight w:val="none"/>
              </w:rPr>
              <w:t xml:space="preserve">。（证书原件扫描上传，未提供不得分）</w:t>
            </w:r>
            <w:r/>
          </w:p>
          <w:p>
            <w:pPr>
              <w:pStyle w:val="1017"/>
              <w:numPr>
                <w:ilvl w:val="0"/>
                <w:numId w:val="0"/>
              </w:numPr>
              <w:spacing w:before="0" w:after="0"/>
              <w:rPr>
                <w:rFonts w:ascii="宋体" w:hAnsi="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注：</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需提供社保部门出具的投标人为其缴纳的近三个月任意一个月的在职职工养老保险的证明材料</w:t>
            </w:r>
            <w:r>
              <w:rPr>
                <w:rFonts w:hint="eastAsia" w:ascii="宋体" w:hAnsi="宋体" w:eastAsia="宋体" w:cs="宋体"/>
                <w:color w:val="auto"/>
                <w:spacing w:val="0"/>
                <w:sz w:val="21"/>
                <w:szCs w:val="21"/>
                <w:highlight w:val="none"/>
                <w:lang w:eastAsia="zh-CN"/>
              </w:rPr>
              <w:t xml:space="preserve">原件扫描上</w:t>
            </w:r>
            <w:r>
              <w:rPr>
                <w:rFonts w:hint="eastAsia" w:ascii="宋体" w:hAnsi="宋体" w:cs="宋体"/>
                <w:color w:val="auto"/>
                <w:spacing w:val="0"/>
                <w:sz w:val="21"/>
                <w:szCs w:val="21"/>
                <w:highlight w:val="none"/>
                <w:lang w:eastAsia="zh-CN"/>
              </w:rPr>
              <w:t xml:space="preserve">传</w:t>
            </w:r>
            <w:r>
              <w:rPr>
                <w:rFonts w:hint="eastAsia" w:ascii="宋体" w:hAnsi="宋体" w:cs="宋体"/>
                <w:color w:val="auto"/>
                <w:spacing w:val="0"/>
                <w:sz w:val="21"/>
                <w:szCs w:val="21"/>
                <w:highlight w:val="none"/>
              </w:rPr>
              <w:t xml:space="preserve">，未提供养老保险材料的不得分。（退休返聘人员需提供退休证、返聘合同等证明材料）</w:t>
            </w:r>
            <w:r/>
          </w:p>
          <w:p>
            <w:pPr>
              <w:pStyle w:val="1017"/>
              <w:ind w:firstLine="0"/>
              <w:spacing w:before="0" w:after="0"/>
              <w:rPr>
                <w:rFonts w:ascii="宋体" w:hAnsi="宋体" w:cs="宋体"/>
                <w:color w:val="auto"/>
                <w:spacing w:val="0"/>
                <w:sz w:val="21"/>
                <w:szCs w:val="21"/>
                <w:highlight w:val="none"/>
              </w:rPr>
            </w:pP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lang w:eastAsia="zh-CN"/>
              </w:rPr>
              <w:t xml:space="preserve">）</w:t>
            </w:r>
            <w:r>
              <w:rPr>
                <w:rFonts w:hint="eastAsia" w:ascii="宋体" w:hAnsi="宋体" w:cs="宋体"/>
                <w:color w:val="auto"/>
                <w:spacing w:val="0"/>
                <w:sz w:val="21"/>
                <w:szCs w:val="21"/>
                <w:highlight w:val="none"/>
              </w:rPr>
              <w:t xml:space="preserve">采用网上自助查询的，如当地社保管理部门明确的最大查询期与磋商文件规定的月份不一致时，须提供社保管理部门的文件。</w:t>
            </w:r>
            <w:r/>
          </w:p>
        </w:tc>
      </w:tr>
    </w:tbl>
    <w:p>
      <w:pPr>
        <w:pStyle w:val="1017"/>
        <w:ind w:firstLine="0"/>
        <w:spacing w:before="0" w:after="0"/>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注：1、评委应对以上各得分项独立评分，供应商最终得分为所有评委评分汇总的平均值。</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2、以上参与评分的相关证书、合同等其他证明材料，均需以原件扫描件形式上传，否则不得分。</w:t>
      </w:r>
      <w:r/>
    </w:p>
    <w:p>
      <w:pPr>
        <w:pStyle w:val="1012"/>
        <w:rPr>
          <w:rFonts w:ascii="宋体" w:hAnsi="宋体" w:cs="宋体"/>
          <w:color w:val="auto"/>
          <w:highlight w:val="none"/>
        </w:rPr>
      </w:pPr>
      <w:r>
        <w:rPr>
          <w:rFonts w:ascii="宋体" w:hAnsi="宋体" w:cs="宋体"/>
          <w:color w:val="auto"/>
          <w:highlight w:val="none"/>
        </w:rPr>
      </w:r>
      <w:bookmarkEnd w:id="8"/>
      <w:r/>
      <w:r/>
    </w:p>
    <w:p>
      <w:pPr>
        <w:pStyle w:val="1012"/>
        <w:rPr>
          <w:rFonts w:ascii="宋体" w:hAnsi="宋体" w:cs="宋体"/>
          <w:color w:val="auto"/>
          <w:highlight w:val="none"/>
        </w:rPr>
      </w:pPr>
      <w:r>
        <w:rPr>
          <w:rFonts w:ascii="宋体" w:hAnsi="宋体" w:cs="宋体"/>
          <w:color w:val="auto"/>
          <w:highlight w:val="none"/>
        </w:rPr>
      </w:r>
      <w:r/>
    </w:p>
    <w:p>
      <w:pPr>
        <w:ind w:firstLine="643"/>
        <w:jc w:val="center"/>
        <w:spacing w:line="360" w:lineRule="auto"/>
        <w:rPr>
          <w:rFonts w:hint="eastAsia" w:ascii="宋体" w:hAnsi="宋体" w:eastAsia="宋体" w:cs="宋体"/>
          <w:b/>
          <w:bCs/>
          <w:color w:val="auto"/>
          <w:sz w:val="32"/>
          <w:szCs w:val="32"/>
          <w:highlight w:val="none"/>
        </w:rPr>
        <w:sectPr>
          <w:headerReference w:type="default" r:id="rId9"/>
          <w:footerReference w:type="default" r:id="rId12"/>
          <w:footnotePr/>
          <w:endnotePr/>
          <w:type w:val="nextPage"/>
          <w:pgSz w:w="11906" w:h="16838" w:orient="portrait"/>
          <w:pgMar w:top="1440" w:right="1746" w:bottom="1440" w:left="1689" w:header="851" w:footer="992" w:gutter="0"/>
          <w:cols w:num="1" w:sep="0" w:space="720" w:equalWidth="1"/>
          <w:docGrid w:linePitch="360"/>
        </w:sectPr>
      </w:pPr>
      <w:r/>
      <w:bookmarkStart w:id="477" w:name="_Toc109304976"/>
      <w:r/>
      <w:r/>
    </w:p>
    <w:p>
      <w:pPr>
        <w:ind w:firstLine="64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第六章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竞争性磋商响应文件格式</w:t>
      </w:r>
      <w:bookmarkEnd w:id="477"/>
      <w:r/>
      <w:r/>
    </w:p>
    <w:p>
      <w:pPr>
        <w:jc w:val="center"/>
        <w:spacing w:line="360" w:lineRule="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rPr>
          <w:rFonts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、磋商响应报价表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、其他 （供应商认为有必要提供的声明和文件，如有自拟并自行添加）</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5447"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资格审查响应内容</w:t>
            </w:r>
            <w:r/>
          </w:p>
        </w:tc>
        <w:tc>
          <w:tcPr>
            <w:tcW w:w="2158"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是否响应</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cs="宋体"/>
                <w:b/>
                <w:color w:val="auto"/>
                <w:highlight w:val="none"/>
              </w:rPr>
            </w:pPr>
            <w:r>
              <w:rPr>
                <w:rFonts w:hint="eastAsia" w:ascii="宋体" w:hAnsi="宋体" w:cs="宋体"/>
                <w:b/>
                <w:color w:val="auto"/>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cs="宋体"/>
                <w:b/>
                <w:i/>
                <w:iCs/>
                <w:color w:val="auto"/>
                <w:highlight w:val="none"/>
                <w:u w:val="single"/>
              </w:rPr>
            </w:pPr>
            <w:r>
              <w:rPr>
                <w:rFonts w:hint="eastAsia" w:ascii="宋体" w:hAnsi="宋体" w:cs="宋体"/>
                <w:i/>
                <w:iCs/>
                <w:color w:val="auto"/>
                <w:highlight w:val="none"/>
                <w:u w:val="single"/>
              </w:rPr>
              <w:t xml:space="preserve">1</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cs="宋体"/>
                <w:b/>
                <w:color w:val="auto"/>
                <w:highlight w:val="none"/>
              </w:rPr>
            </w:pPr>
            <w:r>
              <w:rPr>
                <w:rFonts w:ascii="宋体" w:hAnsi="宋体" w:cs="宋体"/>
                <w:b/>
                <w:color w:val="auto"/>
                <w:highlight w:val="none"/>
              </w:rPr>
            </w:r>
            <w:r/>
          </w:p>
        </w:tc>
      </w:tr>
      <w:tr>
        <w:trPr>
          <w:trHeight w:val="585"/>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2</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依法缴纳职工社会保障资金的证明材料</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85"/>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3</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依法纳税的缴款凭证</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417"/>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4</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具有良好的商业信誉和健全的财务会计制度</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78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5</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具备履行合同所必需的设备和专业技术能力</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78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6</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参加本次政府采购活动前3年内在经营活动中没有重大违法记录的书面声明</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78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7</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auto"/>
                <w:highlight w:val="none"/>
                <w:u w:val="single"/>
              </w:rPr>
              <w:t xml:space="preserve">（可提供“基本资格条件承诺函”）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78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8</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供应商信用承诺函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90"/>
        </w:trPr>
        <w:tc>
          <w:tcPr>
            <w:gridSpan w:val="3"/>
            <w:tcW w:w="825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b/>
                <w:bCs/>
                <w:color w:val="auto"/>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w:t>
            </w:r>
            <w:r/>
          </w:p>
        </w:tc>
        <w:tc>
          <w:tcPr>
            <w:tcW w:w="5447" w:type="dxa"/>
            <w:vAlign w:val="center"/>
            <w:textDirection w:val="lrTb"/>
            <w:noWrap w:val="false"/>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根据《政府采购促进中小企业发展管理办法》的规定，本项目专门面向中小企业采购，投标人投标时须提供《中小企业</w:t>
            </w:r>
            <w:r>
              <w:rPr>
                <w:rFonts w:hint="eastAsia" w:ascii="宋体" w:hAnsi="宋体" w:cs="宋体"/>
                <w:i/>
                <w:iCs/>
                <w:color w:val="auto"/>
                <w:highlight w:val="none"/>
                <w:u w:val="single"/>
                <w:lang w:eastAsia="zh-CN"/>
              </w:rPr>
              <w:t xml:space="preserve">声明函</w:t>
            </w:r>
            <w:r>
              <w:rPr>
                <w:rFonts w:hint="eastAsia" w:ascii="宋体" w:hAnsi="宋体" w:cs="宋体"/>
                <w:i/>
                <w:iCs/>
                <w:color w:val="auto"/>
                <w:highlight w:val="none"/>
                <w:u w:val="single"/>
              </w:rPr>
              <w:t xml:space="preserve">》，《中小企业</w:t>
            </w:r>
            <w:r>
              <w:rPr>
                <w:rFonts w:hint="eastAsia" w:ascii="宋体" w:hAnsi="宋体" w:cs="宋体"/>
                <w:i/>
                <w:iCs/>
                <w:color w:val="auto"/>
                <w:highlight w:val="none"/>
                <w:u w:val="single"/>
                <w:lang w:eastAsia="zh-CN"/>
              </w:rPr>
              <w:t xml:space="preserve">声明函</w:t>
            </w:r>
            <w:r>
              <w:rPr>
                <w:rFonts w:hint="eastAsia" w:ascii="宋体" w:hAnsi="宋体" w:cs="宋体"/>
                <w:i/>
                <w:iCs/>
                <w:color w:val="auto"/>
                <w:highlight w:val="none"/>
                <w:u w:val="single"/>
              </w:rPr>
              <w:t xml:space="preserve">》不符合要求或未提供的，投标文件无效。</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b/>
                <w:color w:val="auto"/>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w:t>
            </w:r>
            <w:r/>
          </w:p>
        </w:tc>
        <w:tc>
          <w:tcPr>
            <w:tcW w:w="5447" w:type="dxa"/>
            <w:vAlign w:val="center"/>
            <w:textDirection w:val="lrTb"/>
            <w:noWrap w:val="false"/>
          </w:tcPr>
          <w:p>
            <w:pPr>
              <w:jc w:val="left"/>
              <w:pageBreakBefore w:val="0"/>
              <w:spacing w:line="360" w:lineRule="auto"/>
              <w:widowControl w:val="off"/>
              <w:rPr>
                <w:rFonts w:hint="eastAsia" w:ascii="宋体" w:hAnsi="宋体" w:cs="宋体"/>
                <w:i/>
                <w:iCs/>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（1）供应商应具备</w:t>
            </w:r>
            <w:r>
              <w:rPr>
                <w:rFonts w:hint="eastAsia" w:ascii="宋体" w:hAnsi="宋体" w:cs="宋体"/>
                <w:i/>
                <w:iCs/>
                <w:color w:val="auto"/>
                <w:sz w:val="21"/>
                <w:szCs w:val="21"/>
                <w:highlight w:val="none"/>
                <w:u w:val="single"/>
                <w:lang w:val="en-US" w:eastAsia="zh-CN"/>
              </w:rPr>
              <w:t xml:space="preserve">市政公用工程施工总承包三级及以上资质</w:t>
            </w:r>
            <w:r>
              <w:rPr>
                <w:rFonts w:hint="eastAsia" w:ascii="宋体" w:hAnsi="宋体" w:cs="宋体"/>
                <w:i/>
                <w:iCs/>
                <w:color w:val="auto"/>
                <w:sz w:val="21"/>
                <w:szCs w:val="21"/>
                <w:highlight w:val="none"/>
                <w:u w:val="single"/>
              </w:rPr>
              <w:t xml:space="preserve">（原件扫描上传）</w:t>
            </w:r>
            <w:r>
              <w:rPr>
                <w:rFonts w:hint="eastAsia" w:ascii="宋体" w:hAnsi="宋体" w:cs="宋体"/>
                <w:i/>
                <w:iCs/>
                <w:color w:val="auto"/>
                <w:sz w:val="21"/>
                <w:szCs w:val="21"/>
                <w:highlight w:val="none"/>
                <w:u w:val="single"/>
                <w:lang w:eastAsia="zh-CN"/>
              </w:rPr>
              <w:t xml:space="preserve">；</w:t>
            </w:r>
            <w:r/>
          </w:p>
          <w:p>
            <w:pPr>
              <w:jc w:val="left"/>
              <w:pageBreakBefore w:val="0"/>
              <w:spacing w:line="360" w:lineRule="auto"/>
              <w:widowControl w:val="off"/>
              <w:rPr>
                <w:rFonts w:hint="eastAsia" w:ascii="宋体" w:hAnsi="宋体" w:cs="宋体"/>
                <w:i/>
                <w:iCs/>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（2）供应商具备安全生产条件，并取得有效期内的安全生产许可证（原件扫描上传）</w:t>
            </w:r>
            <w:r>
              <w:rPr>
                <w:rFonts w:hint="eastAsia" w:ascii="宋体" w:hAnsi="宋体" w:cs="宋体"/>
                <w:i/>
                <w:iCs/>
                <w:color w:val="auto"/>
                <w:sz w:val="21"/>
                <w:szCs w:val="21"/>
                <w:highlight w:val="none"/>
                <w:u w:val="single"/>
                <w:lang w:eastAsia="zh-CN"/>
              </w:rPr>
              <w:t xml:space="preserve">；</w:t>
            </w:r>
            <w:r/>
          </w:p>
          <w:p>
            <w:pPr>
              <w:jc w:val="left"/>
              <w:pageBreakBefore w:val="0"/>
              <w:spacing w:line="360" w:lineRule="auto"/>
              <w:widowControl w:val="off"/>
              <w:rPr>
                <w:rFonts w:hint="eastAsia" w:ascii="宋体" w:hAnsi="宋体" w:cs="宋体"/>
                <w:i/>
                <w:iCs/>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（3）拟派项目负责人</w:t>
            </w:r>
            <w:r>
              <w:rPr>
                <w:rFonts w:hint="eastAsia" w:ascii="宋体" w:hAnsi="宋体" w:cs="宋体"/>
                <w:i/>
                <w:iCs/>
                <w:color w:val="auto"/>
                <w:sz w:val="21"/>
                <w:szCs w:val="21"/>
                <w:highlight w:val="none"/>
                <w:u w:val="single"/>
                <w:lang w:val="en-US" w:eastAsia="zh-CN"/>
              </w:rPr>
              <w:t xml:space="preserve">要求：具有</w:t>
            </w:r>
            <w:r>
              <w:rPr>
                <w:rFonts w:hint="eastAsia" w:ascii="宋体" w:hAnsi="宋体" w:cs="宋体"/>
                <w:i/>
                <w:iCs/>
                <w:color w:val="auto"/>
                <w:sz w:val="21"/>
                <w:szCs w:val="21"/>
                <w:highlight w:val="none"/>
                <w:u w:val="single"/>
                <w:lang w:val="en-US" w:eastAsia="zh-CN"/>
              </w:rPr>
              <w:t xml:space="preserve">市政公用工程专业</w:t>
            </w:r>
            <w:r>
              <w:rPr>
                <w:rFonts w:hint="eastAsia" w:ascii="宋体" w:hAnsi="宋体" w:cs="宋体"/>
                <w:i/>
                <w:iCs/>
                <w:color w:val="auto"/>
                <w:sz w:val="21"/>
                <w:szCs w:val="21"/>
                <w:highlight w:val="none"/>
                <w:u w:val="single"/>
                <w:lang w:val="en-US" w:eastAsia="zh-CN"/>
              </w:rPr>
              <w:t xml:space="preserve">注册二级及以上注册建造师并具备有效的安全生产考核合格证书(B证)</w:t>
            </w:r>
            <w:r>
              <w:rPr>
                <w:rFonts w:hint="eastAsia" w:ascii="宋体" w:hAnsi="宋体" w:cs="宋体"/>
                <w:i/>
                <w:iCs/>
                <w:color w:val="auto"/>
                <w:sz w:val="21"/>
                <w:szCs w:val="21"/>
                <w:highlight w:val="none"/>
                <w:u w:val="single"/>
              </w:rPr>
              <w:t xml:space="preserve">（原件扫描上传）</w:t>
            </w:r>
            <w:r>
              <w:rPr>
                <w:rFonts w:hint="eastAsia" w:ascii="宋体" w:hAnsi="宋体" w:cs="宋体"/>
                <w:i/>
                <w:iCs/>
                <w:color w:val="auto"/>
                <w:sz w:val="21"/>
                <w:szCs w:val="21"/>
                <w:highlight w:val="none"/>
                <w:u w:val="single"/>
                <w:lang w:eastAsia="zh-CN"/>
              </w:rPr>
              <w:t xml:space="preserve">；</w:t>
            </w:r>
            <w:r/>
          </w:p>
          <w:p>
            <w:pPr>
              <w:jc w:val="left"/>
              <w:pageBreakBefore w:val="0"/>
              <w:spacing w:line="360" w:lineRule="auto"/>
              <w:widowControl w:val="off"/>
              <w:rPr>
                <w:rFonts w:ascii="宋体" w:hAnsi="宋体" w:cs="宋体"/>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lang w:val="en-US" w:eastAsia="zh-CN"/>
              </w:rPr>
              <w:t xml:space="preserve">（4）社保部门出具的近3个月中任意一个月</w:t>
            </w:r>
            <w:r>
              <w:rPr>
                <w:rFonts w:hint="eastAsia" w:ascii="宋体" w:hAnsi="宋体" w:cs="宋体"/>
                <w:i/>
                <w:iCs/>
                <w:color w:val="auto"/>
                <w:sz w:val="21"/>
                <w:szCs w:val="21"/>
                <w:highlight w:val="none"/>
                <w:u w:val="single"/>
              </w:rPr>
              <w:t xml:space="preserve">投标人为</w:t>
            </w:r>
            <w:r>
              <w:rPr>
                <w:rFonts w:hint="eastAsia" w:ascii="宋体" w:hAnsi="宋体" w:cs="宋体"/>
                <w:i/>
                <w:iCs/>
                <w:color w:val="auto"/>
                <w:sz w:val="21"/>
                <w:szCs w:val="21"/>
                <w:highlight w:val="none"/>
                <w:u w:val="single"/>
                <w:lang w:val="en-US" w:eastAsia="zh-CN"/>
              </w:rPr>
              <w:t xml:space="preserve">授权委托人、</w:t>
            </w:r>
            <w:r>
              <w:rPr>
                <w:rFonts w:hint="eastAsia" w:ascii="宋体" w:hAnsi="宋体" w:cs="宋体"/>
                <w:i/>
                <w:iCs/>
                <w:color w:val="auto"/>
                <w:sz w:val="21"/>
                <w:szCs w:val="21"/>
                <w:highlight w:val="none"/>
                <w:u w:val="single"/>
              </w:rPr>
              <w:t xml:space="preserve">拟派项目负责人</w:t>
            </w:r>
            <w:r>
              <w:rPr>
                <w:rFonts w:hint="eastAsia" w:ascii="宋体" w:hAnsi="宋体" w:cs="宋体"/>
                <w:i/>
                <w:iCs/>
                <w:color w:val="auto"/>
                <w:sz w:val="21"/>
                <w:szCs w:val="21"/>
                <w:highlight w:val="none"/>
                <w:u w:val="single"/>
              </w:rPr>
              <w:t xml:space="preserve">缴纳</w:t>
            </w:r>
            <w:r>
              <w:rPr>
                <w:rFonts w:hint="eastAsia" w:ascii="宋体" w:hAnsi="宋体" w:cs="宋体"/>
                <w:i/>
                <w:iCs/>
                <w:color w:val="auto"/>
                <w:sz w:val="21"/>
                <w:szCs w:val="21"/>
                <w:highlight w:val="none"/>
                <w:u w:val="single"/>
                <w:lang w:val="en-US" w:eastAsia="zh-CN"/>
              </w:rPr>
              <w:t xml:space="preserve">在职职工养老保险的证明材料</w:t>
            </w:r>
            <w:r>
              <w:rPr>
                <w:rFonts w:hint="eastAsia" w:ascii="宋体" w:hAnsi="宋体" w:cs="宋体"/>
                <w:i/>
                <w:iCs/>
                <w:color w:val="auto"/>
                <w:sz w:val="21"/>
                <w:szCs w:val="21"/>
                <w:highlight w:val="none"/>
                <w:u w:val="single"/>
              </w:rPr>
              <w:t xml:space="preserve">（</w:t>
            </w:r>
            <w:r>
              <w:rPr>
                <w:rFonts w:hint="eastAsia" w:ascii="宋体" w:hAnsi="宋体" w:cs="宋体"/>
                <w:i/>
                <w:iCs/>
                <w:color w:val="auto"/>
                <w:sz w:val="21"/>
                <w:szCs w:val="21"/>
                <w:highlight w:val="none"/>
                <w:u w:val="single"/>
              </w:rPr>
              <w:t xml:space="preserve">退休返聘人员需提供退休证、返聘合同等证明材料</w:t>
            </w:r>
            <w:r>
              <w:rPr>
                <w:rFonts w:hint="eastAsia" w:ascii="宋体" w:hAnsi="宋体" w:cs="宋体"/>
                <w:i/>
                <w:iCs/>
                <w:color w:val="auto"/>
                <w:sz w:val="21"/>
                <w:szCs w:val="21"/>
                <w:highlight w:val="none"/>
                <w:u w:val="single"/>
                <w:lang w:val="en-US" w:eastAsia="zh-CN"/>
              </w:rPr>
              <w:t xml:space="preserve">;</w:t>
            </w:r>
            <w:r>
              <w:rPr>
                <w:rFonts w:hint="eastAsia" w:ascii="宋体" w:hAnsi="宋体" w:cs="宋体"/>
                <w:i/>
                <w:iCs/>
                <w:color w:val="auto"/>
                <w:sz w:val="21"/>
                <w:szCs w:val="21"/>
                <w:highlight w:val="none"/>
                <w:u w:val="single"/>
              </w:rPr>
              <w:t xml:space="preserve">已取消书面证明采用网上自助查询方式的，如当地社保管理部门明确的最大查询期与</w:t>
            </w:r>
            <w:r>
              <w:rPr>
                <w:rFonts w:hint="eastAsia" w:ascii="宋体" w:hAnsi="宋体" w:cs="宋体"/>
                <w:i/>
                <w:iCs/>
                <w:color w:val="auto"/>
                <w:sz w:val="21"/>
                <w:szCs w:val="21"/>
                <w:highlight w:val="none"/>
                <w:u w:val="single"/>
                <w:lang w:eastAsia="zh-CN"/>
              </w:rPr>
              <w:t xml:space="preserve">采购</w:t>
            </w:r>
            <w:r>
              <w:rPr>
                <w:rFonts w:hint="eastAsia" w:ascii="宋体" w:hAnsi="宋体" w:cs="宋体"/>
                <w:i/>
                <w:iCs/>
                <w:color w:val="auto"/>
                <w:sz w:val="21"/>
                <w:szCs w:val="21"/>
                <w:highlight w:val="none"/>
                <w:u w:val="single"/>
              </w:rPr>
              <w:t xml:space="preserve">公告规定的月份不一致时，须提供社保管理部门的文件规定。）</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rPr>
              <w:t xml:space="preserve">社保证明扫描上传)</w:t>
            </w:r>
            <w:r>
              <w:rPr>
                <w:rFonts w:hint="eastAsia" w:ascii="宋体" w:hAnsi="宋体" w:cs="宋体"/>
                <w:i/>
                <w:iCs/>
                <w:color w:val="auto"/>
                <w:sz w:val="21"/>
                <w:szCs w:val="21"/>
                <w:highlight w:val="none"/>
                <w:u w:val="single"/>
                <w:lang w:eastAsia="zh-CN"/>
              </w:rPr>
              <w:t xml:space="preserve">；</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b/>
                <w:color w:val="auto"/>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1</w:t>
            </w:r>
            <w:r/>
          </w:p>
        </w:tc>
        <w:tc>
          <w:tcPr>
            <w:tcW w:w="5447" w:type="dxa"/>
            <w:vAlign w:val="center"/>
            <w:textDirection w:val="lrTb"/>
            <w:noWrap w:val="false"/>
          </w:tcPr>
          <w:p>
            <w:pPr>
              <w:jc w:val="left"/>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磋商响应函</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400"/>
        </w:trPr>
        <w:tc>
          <w:tcPr>
            <w:tcW w:w="646" w:type="dxa"/>
            <w:vAlign w:val="center"/>
            <w:textDirection w:val="lrTb"/>
            <w:noWrap w:val="false"/>
          </w:tcPr>
          <w:p>
            <w:pPr>
              <w:jc w:val="cente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2</w:t>
            </w:r>
            <w:r/>
          </w:p>
        </w:tc>
        <w:tc>
          <w:tcPr>
            <w:tcW w:w="5447" w:type="dxa"/>
            <w:vAlign w:val="center"/>
            <w:textDirection w:val="lrTb"/>
            <w:noWrap w:val="false"/>
          </w:tcPr>
          <w:p>
            <w:pPr>
              <w:jc w:val="left"/>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法人授权书</w:t>
            </w:r>
            <w:r/>
          </w:p>
        </w:tc>
        <w:tc>
          <w:tcPr>
            <w:tcW w:w="215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bl>
    <w:p>
      <w:pPr>
        <w:jc w:val="left"/>
        <w:spacing w:before="156" w:after="156" w:line="360" w:lineRule="auto"/>
        <w:rPr>
          <w:rFonts w:ascii="宋体" w:hAnsi="宋体" w:cs="宋体"/>
          <w:b/>
          <w:bCs/>
          <w:color w:val="auto"/>
          <w:highlight w:val="none"/>
        </w:rPr>
      </w:pPr>
      <w:r>
        <w:rPr>
          <w:rFonts w:hint="eastAsia" w:ascii="宋体" w:hAnsi="宋体" w:cs="宋体"/>
          <w:b/>
          <w:bCs/>
          <w:color w:val="auto"/>
          <w:highlight w:val="none"/>
        </w:rPr>
        <w:t xml:space="preserve">注：如为联合体参加采购活动的，联合体各方均须提供上述基本资格条件和落实政府采购政策的相关证明材料</w:t>
      </w:r>
      <w:r/>
    </w:p>
    <w:p>
      <w:pPr>
        <w:jc w:val="center"/>
        <w:spacing w:line="500" w:lineRule="exact"/>
        <w:rPr>
          <w:rFonts w:ascii="宋体" w:hAnsi="宋体" w:cs="宋体"/>
          <w:b/>
          <w:color w:val="auto"/>
          <w:highlight w:val="none"/>
        </w:rPr>
      </w:pPr>
      <w:r>
        <w:rPr>
          <w:rFonts w:hint="eastAsia" w:ascii="宋体" w:hAnsi="宋体" w:cs="宋体"/>
          <w:b/>
          <w:bCs/>
          <w:color w:val="auto"/>
          <w:highlight w:val="none"/>
        </w:rPr>
        <w:br w:type="page" w:clear="all"/>
      </w:r>
      <w:r>
        <w:rPr>
          <w:rFonts w:hint="eastAsia" w:ascii="宋体" w:hAnsi="宋体" w:cs="宋体"/>
          <w:b/>
          <w:color w:val="auto"/>
          <w:highlight w:val="none"/>
        </w:rPr>
        <w:t xml:space="preserve">基本资格条件承诺函</w:t>
      </w:r>
      <w:r/>
    </w:p>
    <w:p>
      <w:pPr>
        <w:spacing w:line="530" w:lineRule="exact"/>
        <w:tabs>
          <w:tab w:val="left" w:pos="6300" w:leader="none"/>
        </w:tabs>
        <w:rPr>
          <w:rFonts w:ascii="宋体" w:hAnsi="宋体" w:cs="宋体"/>
          <w:color w:val="auto"/>
          <w:sz w:val="24"/>
          <w:highlight w:val="none"/>
        </w:rPr>
      </w:pPr>
      <w:r>
        <w:rPr>
          <w:rFonts w:ascii="宋体" w:hAnsi="宋体" w:cs="宋体"/>
          <w:color w:val="auto"/>
          <w:sz w:val="24"/>
          <w:highlight w:val="none"/>
        </w:rPr>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致                   （采购代理机构名称）：</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我公司自愿参加                   （项目名称）政府采购活动，并郑重承诺：</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1.我方具有良好的商业信誉和健全的财务会计制度，具有履行合同所必需的设备和专业技术能力，具</w:t>
      </w:r>
      <w:r>
        <w:rPr>
          <w:rFonts w:hint="eastAsia" w:ascii="宋体" w:hAnsi="宋体" w:cs="宋体"/>
          <w:color w:val="auto"/>
          <w:highlight w:val="none"/>
          <w:lang w:val="zh-CN"/>
        </w:rPr>
        <w:t xml:space="preserve">有依法缴纳税收和社会保障金的良好记录</w:t>
      </w:r>
      <w:r>
        <w:rPr>
          <w:rFonts w:hint="eastAsia" w:ascii="宋体" w:hAnsi="宋体" w:cs="宋体"/>
          <w:color w:val="auto"/>
          <w:highlight w:val="none"/>
        </w:rPr>
        <w:t xml:space="preserve">，参加本项目采购活动前三年内无重大违法活动记录。</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3.我方在采购项目评审（评标）环节结束后，随时接受采购人、采购代理机构的检查验证，配合提供相关证明材料，证明符合《中华人民共和国政府采购法》规定的供应商基本资格条件。</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我方对以上承诺负全部法律责任。</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特此承诺。</w:t>
      </w:r>
      <w:r/>
    </w:p>
    <w:p>
      <w:pPr>
        <w:ind w:firstLine="420"/>
        <w:spacing w:line="560" w:lineRule="exact"/>
        <w:rPr>
          <w:rFonts w:ascii="宋体" w:hAnsi="宋体" w:cs="宋体"/>
          <w:color w:val="auto"/>
          <w:highlight w:val="none"/>
        </w:rPr>
      </w:pPr>
      <w:r>
        <w:rPr>
          <w:rFonts w:ascii="宋体" w:hAnsi="宋体" w:cs="宋体"/>
          <w:color w:val="auto"/>
          <w:highlight w:val="none"/>
        </w:rPr>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        法定代表人（签章）：</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        </w:t>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        供应商名称（签章）：</w:t>
      </w:r>
      <w:r/>
    </w:p>
    <w:p>
      <w:pPr>
        <w:ind w:firstLine="420"/>
        <w:spacing w:line="560" w:lineRule="exact"/>
        <w:rPr>
          <w:rFonts w:ascii="宋体" w:hAnsi="宋体" w:cs="宋体"/>
          <w:color w:val="auto"/>
          <w:highlight w:val="none"/>
        </w:rPr>
      </w:pPr>
      <w:r>
        <w:rPr>
          <w:rFonts w:ascii="宋体" w:hAnsi="宋体" w:cs="宋体"/>
          <w:color w:val="auto"/>
          <w:highlight w:val="none"/>
        </w:rPr>
      </w:r>
      <w:r/>
    </w:p>
    <w:p>
      <w:pPr>
        <w:ind w:firstLine="420"/>
        <w:spacing w:line="560" w:lineRule="exact"/>
        <w:rPr>
          <w:rFonts w:ascii="宋体" w:hAnsi="宋体" w:cs="宋体"/>
          <w:color w:val="auto"/>
          <w:highlight w:val="none"/>
        </w:rPr>
      </w:pPr>
      <w:r>
        <w:rPr>
          <w:rFonts w:hint="eastAsia" w:ascii="宋体" w:hAnsi="宋体" w:cs="宋体"/>
          <w:color w:val="auto"/>
          <w:highlight w:val="none"/>
        </w:rPr>
        <w:t xml:space="preserve">年   月   日</w:t>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供应商信用承诺书</w:t>
      </w:r>
      <w:r/>
    </w:p>
    <w:p>
      <w:pPr>
        <w:spacing w:line="360" w:lineRule="auto"/>
        <w:rPr>
          <w:rFonts w:ascii="宋体" w:hAnsi="宋体" w:cs="宋体"/>
          <w:color w:val="auto"/>
          <w:highlight w:val="none"/>
        </w:rPr>
      </w:pPr>
      <w:r>
        <w:rPr>
          <w:rFonts w:hint="eastAsia" w:ascii="宋体" w:hAnsi="宋体" w:cs="宋体"/>
          <w:color w:val="auto"/>
          <w:highlight w:val="none"/>
        </w:rPr>
        <w:t xml:space="preserve">承诺主体名称：</w:t>
      </w:r>
      <w:r/>
    </w:p>
    <w:p>
      <w:pPr>
        <w:spacing w:line="360" w:lineRule="auto"/>
        <w:rPr>
          <w:rFonts w:ascii="宋体" w:hAnsi="宋体" w:cs="宋体"/>
          <w:color w:val="auto"/>
          <w:highlight w:val="none"/>
        </w:rPr>
      </w:pPr>
      <w:r>
        <w:rPr>
          <w:rFonts w:hint="eastAsia" w:ascii="宋体" w:hAnsi="宋体" w:cs="宋体"/>
          <w:color w:val="auto"/>
          <w:highlight w:val="none"/>
        </w:rPr>
        <w:t xml:space="preserve">统一社会信用代码：</w:t>
      </w:r>
      <w:r/>
    </w:p>
    <w:p>
      <w:pP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四、自觉接受行政管理部门、行业组织、社会公众、新闻舆论的监督；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七、严格遵守信用信息公示相关规定，向社会公示信用信息；</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八、在“信用中国”和“中国政府采购网”网站中无重大违法违规、较重或严重失信记录；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十、本承诺书自签订之日起生效。</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 （注：法定代表人或负责人、主体名称发生变更的应当重新做出承诺。）</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承诺单位（签章）：           </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法定代表人（负责人）：</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年    月    日</w:t>
      </w:r>
      <w:r/>
    </w:p>
    <w:p>
      <w:pPr>
        <w:jc w:val="center"/>
        <w:spacing w:line="360" w:lineRule="auto"/>
        <w:rPr>
          <w:rFonts w:ascii="宋体" w:hAnsi="宋体" w:cs="宋体"/>
          <w:b/>
          <w:bCs/>
          <w:color w:val="auto"/>
          <w:highlight w:val="none"/>
        </w:rPr>
        <w:sectPr>
          <w:footnotePr/>
          <w:endnotePr/>
          <w:type w:val="nextPage"/>
          <w:pgSz w:w="11906" w:h="16838" w:orient="portrait"/>
          <w:pgMar w:top="1440" w:right="1746" w:bottom="1440" w:left="1689" w:header="851" w:footer="992" w:gutter="0"/>
          <w:cols w:num="1" w:sep="0" w:space="720"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磋商响应函</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致：（代理公司）</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1134"/>
        <w:ind w:left="0" w:firstLine="0"/>
        <w:jc w:val="center"/>
        <w:spacing w:after="312"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__     </w:t>
      </w:r>
      <w:r/>
    </w:p>
    <w:p>
      <w:pPr>
        <w:pStyle w:val="1134"/>
        <w:ind w:left="0"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单位名称：____________________________________</w:t>
      </w:r>
      <w:r/>
    </w:p>
    <w:p>
      <w:pPr>
        <w:pStyle w:val="1134"/>
        <w:ind w:left="0"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13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ind w:firstLine="420"/>
        <w:spacing w:line="360" w:lineRule="auto"/>
        <w:rPr>
          <w:rFonts w:ascii="宋体" w:hAnsi="宋体" w:cs="宋体"/>
          <w:bCs/>
          <w:color w:val="auto"/>
          <w:highlight w:val="none"/>
        </w:rPr>
      </w:pPr>
      <w:r>
        <w:rPr>
          <w:rFonts w:ascii="宋体" w:hAnsi="宋体" w:cs="宋体"/>
          <w:bCs/>
          <w:color w:val="auto"/>
          <w:highlight w:val="none"/>
        </w:rPr>
      </w:r>
      <w:r/>
    </w:p>
    <w:p>
      <w:pPr>
        <w:ind w:firstLine="420"/>
        <w:spacing w:line="360" w:lineRule="auto"/>
        <w:rPr>
          <w:rFonts w:ascii="宋体" w:hAnsi="宋体" w:cs="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highlight w:val="none"/>
        </w:rPr>
        <w:t xml:space="preserve">被授权人身份证复印件</w:t>
      </w:r>
      <w:r/>
    </w:p>
    <w:p>
      <w:pPr>
        <w:numPr>
          <w:ilvl w:val="0"/>
          <w:numId w:val="4"/>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75"/>
        <w:tblW w:w="7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534"/>
        <w:gridCol w:w="2523"/>
        <w:gridCol w:w="1282"/>
      </w:tblGrid>
      <w:tr>
        <w:trPr>
          <w:jc w:val="center"/>
          <w:trHeight w:val="882"/>
        </w:trPr>
        <w:tc>
          <w:tcPr>
            <w:tcW w:w="646"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3534"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符合性审查响应内容</w:t>
            </w:r>
            <w:r/>
          </w:p>
        </w:tc>
        <w:tc>
          <w:tcPr>
            <w:tcW w:w="2523"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是否响应</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（填是或者否）</w:t>
            </w:r>
            <w:r/>
          </w:p>
        </w:tc>
        <w:tc>
          <w:tcPr>
            <w:tcW w:w="1282"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1</w:t>
            </w:r>
            <w:r/>
          </w:p>
        </w:tc>
        <w:tc>
          <w:tcPr>
            <w:tcW w:w="3534" w:type="dxa"/>
            <w:vAlign w:val="center"/>
            <w:textDirection w:val="lrTb"/>
            <w:noWrap w:val="false"/>
          </w:tcPr>
          <w:p>
            <w:pPr>
              <w:jc w:val="left"/>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磋商响应报价表</w:t>
            </w:r>
            <w:r/>
          </w:p>
        </w:tc>
        <w:tc>
          <w:tcPr>
            <w:tcW w:w="2523" w:type="dxa"/>
            <w:vAlign w:val="center"/>
            <w:textDirection w:val="lrTb"/>
            <w:noWrap w:val="false"/>
          </w:tcPr>
          <w:p>
            <w:pPr>
              <w:jc w:val="center"/>
              <w:spacing w:line="360" w:lineRule="auto"/>
              <w:rPr>
                <w:rFonts w:ascii="宋体" w:hAnsi="宋体" w:cs="宋体"/>
                <w:b/>
                <w:color w:val="auto"/>
                <w:highlight w:val="none"/>
              </w:rPr>
            </w:pPr>
            <w:r>
              <w:rPr>
                <w:rFonts w:ascii="宋体" w:hAnsi="宋体" w:cs="宋体"/>
                <w:b/>
                <w:color w:val="auto"/>
                <w:highlight w:val="none"/>
              </w:rPr>
            </w:r>
            <w:r/>
          </w:p>
        </w:tc>
        <w:tc>
          <w:tcPr>
            <w:tcW w:w="1282" w:type="dxa"/>
            <w:vAlign w:val="center"/>
            <w:textDirection w:val="lrTb"/>
            <w:noWrap w:val="false"/>
          </w:tcPr>
          <w:p>
            <w:pPr>
              <w:jc w:val="center"/>
              <w:spacing w:line="360" w:lineRule="auto"/>
              <w:rPr>
                <w:rFonts w:ascii="宋体" w:hAnsi="宋体" w:cs="宋体"/>
                <w:b/>
                <w:color w:val="auto"/>
                <w:highlight w:val="none"/>
              </w:rPr>
            </w:pPr>
            <w:r>
              <w:rPr>
                <w:rFonts w:ascii="宋体" w:hAnsi="宋体" w:cs="宋体"/>
                <w:b/>
                <w:color w:val="auto"/>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2</w:t>
            </w:r>
            <w:r/>
          </w:p>
        </w:tc>
        <w:tc>
          <w:tcPr>
            <w:tcW w:w="3534" w:type="dxa"/>
            <w:vAlign w:val="center"/>
            <w:textDirection w:val="lrTb"/>
            <w:noWrap w:val="false"/>
          </w:tcPr>
          <w:p>
            <w:pPr>
              <w:jc w:val="left"/>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分项报价表</w:t>
            </w:r>
            <w:r/>
          </w:p>
        </w:tc>
        <w:tc>
          <w:tcPr>
            <w:tcW w:w="252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28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90"/>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3</w:t>
            </w:r>
            <w:r/>
          </w:p>
        </w:tc>
        <w:tc>
          <w:tcPr>
            <w:shd w:val="clear" w:color="auto" w:fill="auto"/>
            <w:tcW w:w="3534" w:type="dxa"/>
            <w:vAlign w:val="center"/>
            <w:textDirection w:val="lrTb"/>
            <w:noWrap w:val="false"/>
          </w:tcPr>
          <w:p>
            <w:pPr>
              <w:jc w:val="left"/>
              <w:pageBreakBefore w:val="0"/>
              <w:spacing w:line="360" w:lineRule="auto"/>
              <w:rPr>
                <w:rFonts w:hint="eastAsia" w:ascii="宋体" w:hAnsi="宋体" w:eastAsia="宋体" w:cs="Calibri"/>
                <w:color w:val="auto"/>
                <w:sz w:val="21"/>
                <w:szCs w:val="21"/>
                <w:highlight w:val="none"/>
                <w:lang w:val="en-US" w:eastAsia="zh-CN" w:bidi="ar-SA"/>
              </w:rPr>
            </w:pPr>
            <w:r>
              <w:rPr>
                <w:rFonts w:hint="eastAsia" w:ascii="宋体" w:hAnsi="宋体" w:eastAsia="宋体"/>
                <w:color w:val="auto"/>
                <w:highlight w:val="none"/>
                <w:lang w:val="en-US" w:eastAsia="zh-CN"/>
              </w:rPr>
              <w:t xml:space="preserve">《企业声明函》</w:t>
            </w:r>
            <w:r/>
          </w:p>
        </w:tc>
        <w:tc>
          <w:tcPr>
            <w:tcW w:w="252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28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4</w:t>
            </w:r>
            <w:r/>
          </w:p>
        </w:tc>
        <w:tc>
          <w:tcPr>
            <w:shd w:val="clear" w:color="auto" w:fill="auto"/>
            <w:tcW w:w="3534" w:type="dxa"/>
            <w:vAlign w:val="center"/>
            <w:textDirection w:val="lrTb"/>
            <w:noWrap w:val="false"/>
          </w:tcPr>
          <w:p>
            <w:pPr>
              <w:jc w:val="left"/>
              <w:pageBreakBefore w:val="0"/>
              <w:spacing w:line="360" w:lineRule="auto"/>
              <w:rPr>
                <w:rFonts w:ascii="宋体" w:hAnsi="宋体" w:eastAsia="宋体" w:cs="Calibri"/>
                <w:iCs/>
                <w:color w:val="auto"/>
                <w:sz w:val="21"/>
                <w:szCs w:val="21"/>
                <w:highlight w:val="none"/>
                <w:lang w:val="en-US" w:eastAsia="zh-CN" w:bidi="ar-SA"/>
              </w:rPr>
            </w:pPr>
            <w:r>
              <w:rPr>
                <w:rFonts w:hint="eastAsia" w:ascii="宋体" w:hAnsi="宋体" w:eastAsia="宋体"/>
                <w:color w:val="auto"/>
                <w:highlight w:val="none"/>
                <w:lang w:val="en-US" w:eastAsia="zh-CN"/>
              </w:rPr>
              <w:t xml:space="preserve">《</w:t>
            </w:r>
            <w:r>
              <w:rPr>
                <w:rFonts w:hint="eastAsia" w:ascii="宋体" w:hAnsi="宋体" w:eastAsia="宋体"/>
                <w:color w:val="auto"/>
                <w:highlight w:val="none"/>
              </w:rPr>
              <w:t xml:space="preserve">残疾人福利性单位声明函</w:t>
            </w:r>
            <w:r>
              <w:rPr>
                <w:rFonts w:hint="eastAsia" w:ascii="宋体" w:hAnsi="宋体" w:eastAsia="宋体"/>
                <w:color w:val="auto"/>
                <w:highlight w:val="none"/>
                <w:lang w:val="en-US" w:eastAsia="zh-CN"/>
              </w:rPr>
              <w:t xml:space="preserve">》</w:t>
            </w:r>
            <w:r/>
          </w:p>
        </w:tc>
        <w:tc>
          <w:tcPr>
            <w:tcW w:w="252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28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11"/>
        </w:trPr>
        <w:tc>
          <w:tcPr>
            <w:tcW w:w="646" w:type="dxa"/>
            <w:vAlign w:val="center"/>
            <w:textDirection w:val="lrTb"/>
            <w:noWrap w:val="false"/>
          </w:tcPr>
          <w:p>
            <w:pPr>
              <w:jc w:val="center"/>
              <w:spacing w:line="360" w:lineRule="auto"/>
              <w:rPr>
                <w:rFonts w:ascii="宋体" w:hAnsi="宋体" w:cs="宋体"/>
                <w:b w:val="0"/>
                <w:bCs/>
                <w:color w:val="auto"/>
                <w:highlight w:val="none"/>
              </w:rPr>
            </w:pPr>
            <w:r>
              <w:rPr>
                <w:rFonts w:hint="eastAsia" w:ascii="宋体" w:hAnsi="宋体" w:cs="宋体"/>
                <w:b w:val="0"/>
                <w:bCs/>
                <w:color w:val="auto"/>
                <w:highlight w:val="none"/>
              </w:rPr>
              <w:t xml:space="preserve">5</w:t>
            </w:r>
            <w:r/>
          </w:p>
        </w:tc>
        <w:tc>
          <w:tcPr>
            <w:tcW w:w="3534" w:type="dxa"/>
            <w:vAlign w:val="center"/>
            <w:textDirection w:val="lrTb"/>
            <w:noWrap w:val="false"/>
          </w:tcPr>
          <w:p>
            <w:pPr>
              <w:jc w:val="center"/>
              <w:spacing w:line="360" w:lineRule="auto"/>
              <w:rPr>
                <w:rFonts w:ascii="宋体" w:hAnsi="宋体" w:cs="宋体"/>
                <w:b w:val="0"/>
                <w:bCs/>
                <w:iCs/>
                <w:color w:val="auto"/>
                <w:highlight w:val="none"/>
              </w:rPr>
            </w:pPr>
            <w:r>
              <w:rPr>
                <w:rFonts w:ascii="宋体" w:hAnsi="宋体"/>
                <w:iCs/>
                <w:color w:val="auto"/>
                <w:highlight w:val="none"/>
              </w:rPr>
              <w:t xml:space="preserve">……</w:t>
            </w:r>
            <w:r/>
          </w:p>
        </w:tc>
        <w:tc>
          <w:tcPr>
            <w:tcW w:w="252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28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803" w:bottom="1440" w:left="1803" w:header="851" w:footer="992" w:gutter="0"/>
          <w:rtlGutter/>
          <w:cols w:num="1" w:sep="0" w:space="0" w:equalWidth="1"/>
          <w:docGrid w:linePitch="360"/>
        </w:sectPr>
      </w:pPr>
      <w:r>
        <w:rPr>
          <w:rFonts w:hint="eastAsia" w:ascii="宋体" w:hAnsi="宋体" w:cs="宋体"/>
          <w:b/>
          <w:bCs/>
          <w:color w:val="auto"/>
          <w:sz w:val="32"/>
          <w:szCs w:val="32"/>
          <w:highlight w:val="none"/>
        </w:rPr>
      </w:r>
      <w:r/>
    </w:p>
    <w:p>
      <w:pPr>
        <w:ind w:firstLine="422"/>
        <w:jc w:val="center"/>
        <w:keepLines w:val="0"/>
        <w:keepNext w:val="0"/>
        <w:pageBreakBefore w:val="0"/>
        <w:spacing w:line="440" w:lineRule="exact"/>
        <w:widowControl w:val="off"/>
        <w:rPr>
          <w:rFonts w:ascii="宋体" w:hAnsi="宋体" w:cs="宋体"/>
          <w:b/>
          <w:bCs/>
          <w:color w:val="auto"/>
          <w:highlight w:val="none"/>
        </w:rPr>
      </w:pPr>
      <w:r>
        <w:rPr>
          <w:rFonts w:hint="eastAsia" w:ascii="宋体" w:hAnsi="宋体" w:cs="宋体"/>
          <w:b/>
          <w:bCs/>
          <w:color w:val="auto"/>
          <w:highlight w:val="none"/>
        </w:rPr>
        <w:t xml:space="preserve">中小企业声明函（工程、服务）</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（建筑业）（该行业类别不可修改）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2"/>
        <w:keepLines w:val="0"/>
        <w:keepNext w:val="0"/>
        <w:pageBreakBefore w:val="0"/>
        <w:spacing w:line="440" w:lineRule="exact"/>
        <w:widowControl w:val="off"/>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ind w:firstLine="42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3、企业声明函请完整填写，中标后将公示。</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日 期：</w:t>
      </w:r>
      <w:r/>
    </w:p>
    <w:p>
      <w:pPr>
        <w:pStyle w:val="766"/>
        <w:spacing w:before="300" w:after="300" w:line="360" w:lineRule="auto"/>
        <w:widowControl/>
        <w:rPr>
          <w:rFonts w:ascii="宋体" w:hAnsi="宋体" w:eastAsia="宋体" w:cs="宋体"/>
          <w:color w:val="auto"/>
          <w:sz w:val="21"/>
          <w:szCs w:val="21"/>
          <w:highlight w:val="none"/>
        </w:rPr>
      </w:pPr>
      <w:r/>
      <w:bookmarkStart w:id="478" w:name="_Toc109304977"/>
      <w:r>
        <w:rPr>
          <w:rFonts w:hint="eastAsia" w:ascii="宋体" w:hAnsi="宋体" w:eastAsia="宋体" w:cs="宋体"/>
          <w:bCs w:val="0"/>
          <w:color w:val="auto"/>
          <w:sz w:val="21"/>
          <w:szCs w:val="21"/>
          <w:highlight w:val="none"/>
        </w:rPr>
        <w:t xml:space="preserve">中小微企业划型标准</w:t>
      </w:r>
      <w:bookmarkEnd w:id="478"/>
      <w:r/>
      <w:r/>
    </w:p>
    <w:p>
      <w:pPr>
        <w:pStyle w:val="809"/>
        <w:ind w:firstLine="420"/>
        <w:spacing w:before="300" w:after="452"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816"/>
          <w:rFonts w:hint="eastAsia" w:ascii="宋体" w:hAnsi="宋体" w:cs="宋体"/>
          <w:color w:val="auto"/>
          <w:sz w:val="21"/>
          <w:szCs w:val="21"/>
          <w:highlight w:val="none"/>
        </w:rPr>
        <w:t xml:space="preserve">中小微企业划型标准如下：</w:t>
      </w:r>
      <w:r/>
    </w:p>
    <w:tbl>
      <w:tblPr>
        <w:tblStyle w:val="775"/>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09"/>
              <w:ind w:firstLine="420"/>
              <w:jc w:val="center"/>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09"/>
              <w:ind w:firstLine="420"/>
              <w:spacing w:after="150" w:line="360" w:lineRule="auto"/>
              <w:widowControl/>
              <w:rPr>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X＜10</w:t>
            </w:r>
            <w:r/>
          </w:p>
        </w:tc>
      </w:tr>
    </w:tbl>
    <w:p>
      <w:pPr>
        <w:pStyle w:val="809"/>
        <w:ind w:firstLine="420"/>
        <w:spacing w:before="300" w:after="452" w:line="360" w:lineRule="auto"/>
        <w:widowControl/>
        <w:rPr>
          <w:rStyle w:val="816"/>
          <w:rFonts w:ascii="宋体" w:hAnsi="宋体" w:cs="宋体"/>
          <w:color w:val="auto"/>
          <w:sz w:val="21"/>
          <w:szCs w:val="21"/>
          <w:highlight w:val="none"/>
        </w:rPr>
      </w:pPr>
      <w:r>
        <w:rPr>
          <w:rStyle w:val="816"/>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right="0"/>
        <w:jc w:val="center"/>
        <w:keepLines w:val="0"/>
        <w:keepNext w:val="0"/>
        <w:pageBreakBefore w:val="0"/>
        <w:spacing w:line="360" w:lineRule="auto"/>
        <w:widowControl w:val="off"/>
        <w:rPr>
          <w:rFonts w:ascii="宋体" w:hAnsi="宋体" w:cs="宋体"/>
          <w:color w:val="auto"/>
          <w:highlight w:val="none"/>
        </w:rPr>
      </w:pPr>
      <w:r>
        <w:rPr>
          <w:rStyle w:val="816"/>
          <w:rFonts w:hint="eastAsia" w:ascii="宋体" w:hAnsi="宋体" w:cs="宋体"/>
          <w:color w:val="auto"/>
          <w:highlight w:val="none"/>
        </w:rPr>
        <w:br w:type="page" w:clear="all"/>
      </w:r>
      <w:r>
        <w:rPr>
          <w:rFonts w:hint="eastAsia" w:ascii="宋体" w:hAnsi="宋体" w:cs="宋体"/>
          <w:b/>
          <w:bCs/>
          <w:color w:val="auto"/>
          <w:highlight w:val="none"/>
        </w:rPr>
        <w:t xml:space="preserve">残疾人福利性单位声明函</w:t>
      </w:r>
      <w:r/>
    </w:p>
    <w:p>
      <w:pPr>
        <w:ind w:right="0" w:firstLine="624"/>
        <w:keepLines w:val="0"/>
        <w:keepNext w:val="0"/>
        <w:pageBreakBefore w:val="0"/>
        <w:spacing w:line="360" w:lineRule="auto"/>
        <w:widowControl w:val="off"/>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righ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righ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本单位在本次政府采购活动中提供的残疾人福利单位产品报价合计为人民币（大写）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圆整（￥：     ）。</w:t>
      </w:r>
      <w:r/>
    </w:p>
    <w:p>
      <w:pPr>
        <w:ind w:righ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ascii="宋体" w:hAnsi="宋体" w:cs="宋体"/>
          <w:color w:val="auto"/>
          <w:highlight w:val="none"/>
        </w:rPr>
      </w:pPr>
      <w:r>
        <w:rPr>
          <w:rFonts w:ascii="宋体" w:hAnsi="宋体" w:cs="宋体"/>
          <w:color w:val="auto"/>
          <w:highlight w:val="none"/>
        </w:rPr>
      </w:r>
      <w:r/>
    </w:p>
    <w:p>
      <w:pPr>
        <w:ind w:righ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（备注：1、</w:t>
      </w:r>
      <w:r>
        <w:rPr>
          <w:rFonts w:hint="eastAsia" w:ascii="宋体" w:hAnsi="宋体" w:cs="宋体"/>
          <w:b/>
          <w:bCs/>
          <w:color w:val="auto"/>
          <w:highlight w:val="none"/>
        </w:rPr>
        <w:t xml:space="preserve">供应商如不提供此声明函，价格将不做相应扣除。</w:t>
      </w:r>
      <w:r>
        <w:rPr>
          <w:rFonts w:hint="eastAsia" w:ascii="宋体" w:hAnsi="宋体" w:cs="宋体"/>
          <w:color w:val="auto"/>
          <w:highlight w:val="none"/>
        </w:rPr>
        <w:t xml:space="preserve">2、成交供应商为残疾人福利单位的，此声明函将随成交结果同时公告，接受社会监督）</w:t>
      </w:r>
      <w:r/>
    </w:p>
    <w:p>
      <w:pPr>
        <w:ind w:right="0" w:firstLine="444"/>
        <w:keepLines w:val="0"/>
        <w:keepNext w:val="0"/>
        <w:pageBreakBefore w:val="0"/>
        <w:spacing w:line="360" w:lineRule="auto"/>
        <w:widowControl w:val="off"/>
        <w:rPr>
          <w:rFonts w:ascii="宋体" w:hAnsi="宋体" w:cs="宋体"/>
          <w:color w:val="auto"/>
          <w:spacing w:val="6"/>
          <w:highlight w:val="none"/>
        </w:rPr>
      </w:pPr>
      <w:r>
        <w:rPr>
          <w:rFonts w:ascii="宋体" w:hAnsi="宋体" w:cs="宋体"/>
          <w:color w:val="auto"/>
          <w:spacing w:val="6"/>
          <w:highlight w:val="none"/>
        </w:rPr>
      </w:r>
      <w:r/>
    </w:p>
    <w:p>
      <w:pPr>
        <w:ind w:right="0" w:firstLine="444"/>
        <w:jc w:val="center"/>
        <w:keepLines w:val="0"/>
        <w:keepNext w:val="0"/>
        <w:pageBreakBefore w:val="0"/>
        <w:spacing w:line="360" w:lineRule="auto"/>
        <w:widowControl w:val="off"/>
        <w:tabs>
          <w:tab w:val="left" w:pos="4860" w:leader="none"/>
        </w:tabs>
        <w:rPr>
          <w:rFonts w:ascii="宋体" w:hAnsi="宋体" w:cs="宋体"/>
          <w:color w:val="auto"/>
          <w:highlight w:val="none"/>
        </w:rPr>
      </w:pPr>
      <w:r>
        <w:rPr>
          <w:rFonts w:hint="eastAsia" w:ascii="宋体" w:hAnsi="宋体" w:cs="宋体"/>
          <w:color w:val="auto"/>
          <w:spacing w:val="6"/>
          <w:highlight w:val="none"/>
        </w:rPr>
        <w:t xml:space="preserve">             </w:t>
      </w:r>
      <w:r>
        <w:rPr>
          <w:rFonts w:hint="eastAsia" w:ascii="宋体" w:hAnsi="宋体" w:cs="宋体"/>
          <w:color w:val="auto"/>
          <w:highlight w:val="none"/>
        </w:rPr>
        <w:t xml:space="preserve">               供应商全称（盖章）：</w:t>
      </w:r>
      <w:r/>
    </w:p>
    <w:p>
      <w:pPr>
        <w:ind w:right="0" w:firstLine="420"/>
        <w:jc w:val="center"/>
        <w:keepLines w:val="0"/>
        <w:keepNext w:val="0"/>
        <w:pageBreakBefore w:val="0"/>
        <w:spacing w:line="360" w:lineRule="auto"/>
        <w:widowControl w:val="off"/>
        <w:tabs>
          <w:tab w:val="left" w:pos="4860" w:leader="none"/>
        </w:tabs>
        <w:rPr>
          <w:rFonts w:ascii="宋体" w:hAnsi="宋体" w:cs="宋体"/>
          <w:color w:val="auto"/>
          <w:highlight w:val="none"/>
        </w:rPr>
      </w:pPr>
      <w:r>
        <w:rPr>
          <w:rFonts w:hint="eastAsia" w:ascii="宋体" w:hAnsi="宋体" w:cs="宋体"/>
          <w:color w:val="auto"/>
          <w:highlight w:val="none"/>
        </w:rPr>
        <w:t xml:space="preserve">                              日  期：</w:t>
      </w:r>
      <w:r/>
    </w:p>
    <w:p>
      <w:pPr>
        <w:jc w:val="center"/>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803" w:bottom="1440" w:left="1803" w:header="851" w:footer="992" w:gutter="0"/>
          <w:rtlGutter/>
          <w:cols w:num="1" w:sep="0" w:space="0" w:equalWidth="1"/>
          <w:docGrid w:linePitch="360"/>
        </w:sect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rPr>
        <w:t xml:space="preserve">磋商响应报价表</w:t>
      </w:r>
      <w:r/>
    </w:p>
    <w:p>
      <w:pPr>
        <w:spacing w:line="360" w:lineRule="auto"/>
        <w:rPr>
          <w:rFonts w:ascii="宋体" w:hAnsi="宋体" w:cs="宋体"/>
          <w:color w:val="auto"/>
          <w:highlight w:val="none"/>
        </w:rPr>
      </w:pPr>
      <w:r>
        <w:rPr>
          <w:rFonts w:hint="eastAsia" w:ascii="宋体" w:hAnsi="宋体" w:cs="宋体"/>
          <w:color w:val="auto"/>
          <w:highlight w:val="none"/>
        </w:rPr>
        <w:t xml:space="preserve">    </w:t>
      </w:r>
      <w:r/>
    </w:p>
    <w:p>
      <w:pPr>
        <w:pStyle w:val="793"/>
        <w:ind w:left="0"/>
        <w:spacing w:line="360" w:lineRule="auto"/>
        <w:rPr>
          <w:rFonts w:ascii="宋体" w:hAnsi="宋体" w:cs="宋体"/>
          <w:color w:val="auto"/>
          <w:highlight w:val="none"/>
        </w:rPr>
      </w:pPr>
      <w:r>
        <w:rPr>
          <w:rFonts w:hint="eastAsia" w:ascii="宋体" w:hAnsi="宋体" w:cs="宋体"/>
          <w:color w:val="auto"/>
          <w:highlight w:val="none"/>
        </w:rPr>
        <w:t xml:space="preserve">项目名称： </w:t>
      </w:r>
      <w:r/>
    </w:p>
    <w:p>
      <w:pPr>
        <w:spacing w:line="360" w:lineRule="auto"/>
        <w:rPr>
          <w:rFonts w:ascii="宋体" w:hAnsi="宋体" w:cs="宋体"/>
          <w:color w:val="auto"/>
          <w:highlight w:val="none"/>
        </w:rPr>
      </w:pPr>
      <w:r>
        <w:rPr>
          <w:rFonts w:hint="eastAsia" w:ascii="宋体" w:hAnsi="宋体" w:cs="宋体"/>
          <w:color w:val="auto"/>
          <w:highlight w:val="none"/>
        </w:rPr>
        <w:t xml:space="preserve">项目编号：     </w:t>
      </w:r>
      <w:r/>
    </w:p>
    <w:p>
      <w:pPr>
        <w:spacing w:line="360" w:lineRule="auto"/>
        <w:rPr>
          <w:rFonts w:ascii="宋体" w:hAnsi="宋体" w:cs="宋体"/>
          <w:color w:val="auto"/>
          <w:highlight w:val="none"/>
        </w:rPr>
      </w:pPr>
      <w:r>
        <w:rPr>
          <w:rFonts w:hint="eastAsia" w:ascii="宋体" w:hAnsi="宋体" w:cs="宋体"/>
          <w:color w:val="auto"/>
          <w:highlight w:val="none"/>
        </w:rPr>
        <w:t xml:space="preserve">本次为首次报价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tbl>
      <w:tblPr>
        <w:tblStyle w:val="77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tc>
        <w:tc>
          <w:tcPr>
            <w:tcW w:w="640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投标总报价（人民币：元）</w:t>
            </w:r>
            <w:r/>
          </w:p>
        </w:tc>
      </w:tr>
      <w:tr>
        <w:trPr>
          <w:cantSplit/>
          <w:trHeight w:val="1697"/>
        </w:trPr>
        <w:tc>
          <w:tcPr>
            <w:tcW w:w="248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405"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大写：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小写：                            </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                                              日期：       年   月   日                                        </w:t>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hint="eastAsia" w:ascii="黑体" w:hAnsi="黑体" w:eastAsia="黑体"/>
          <w:b/>
          <w:color w:val="auto"/>
          <w:sz w:val="32"/>
          <w:szCs w:val="32"/>
          <w:highlight w:val="none"/>
        </w:rPr>
        <w:sectPr>
          <w:footnotePr/>
          <w:endnotePr/>
          <w:type w:val="nextPage"/>
          <w:pgSz w:w="11906" w:h="16838" w:orient="portrait"/>
          <w:pgMar w:top="1440" w:right="1803" w:bottom="1440" w:left="1803" w:header="851" w:footer="992" w:gutter="0"/>
          <w:rtlGutter/>
          <w:cols w:num="1" w:sep="0" w:space="0" w:equalWidth="1"/>
          <w:docGrid w:linePitch="360"/>
        </w:sectPr>
      </w:pPr>
      <w:r>
        <w:rPr>
          <w:rFonts w:hint="eastAsia"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投标分项报价表</w:t>
      </w:r>
      <w:r/>
    </w:p>
    <w:p>
      <w:pPr>
        <w:rPr>
          <w:rFonts w:ascii="宋体" w:hAnsi="宋体"/>
          <w:color w:val="auto"/>
          <w:sz w:val="24"/>
          <w:szCs w:val="24"/>
          <w:highlight w:val="none"/>
        </w:rPr>
      </w:pPr>
      <w:r>
        <w:rPr>
          <w:rFonts w:ascii="宋体" w:hAnsi="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本次为首轮报价</w:t>
      </w:r>
      <w:r/>
    </w:p>
    <w:p>
      <w:pPr>
        <w:ind w:firstLine="420"/>
        <w:jc w:val="both"/>
        <w:keepLines w:val="0"/>
        <w:keepNext w:val="0"/>
        <w:pageBreakBefore w:val="0"/>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项目名称：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项目编号：</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上传已标价的工程量清单</w:t>
      </w:r>
      <w:r>
        <w:rPr>
          <w:rFonts w:hint="eastAsia" w:ascii="宋体" w:hAnsi="宋体" w:eastAsia="宋体" w:cs="宋体"/>
          <w:b/>
          <w:bCs/>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2"/>
        <w:spacing w:line="360" w:lineRule="auto"/>
        <w:rPr>
          <w:rFonts w:hint="eastAsia" w:ascii="宋体" w:hAnsi="宋体" w:eastAsia="宋体" w:cs="宋体"/>
          <w:b/>
          <w:bCs/>
          <w:color w:val="auto"/>
          <w:szCs w:val="21"/>
          <w:highlight w:val="none"/>
        </w:rPr>
        <w:sectPr>
          <w:footnotePr/>
          <w:endnotePr/>
          <w:type w:val="nextPage"/>
          <w:pgSz w:w="11906" w:h="16838" w:orient="portrait"/>
          <w:pgMar w:top="1440" w:right="1803" w:bottom="1440" w:left="1803" w:header="851" w:footer="992" w:gutter="0"/>
          <w:rtlGutter/>
          <w:cols w:num="1" w:sep="0" w:space="0" w:equalWidth="1"/>
          <w:docGrid w:linePitch="360"/>
        </w:sectPr>
      </w:pP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供应商</w:t>
      </w:r>
      <w:r>
        <w:rPr>
          <w:rFonts w:hint="eastAsia" w:ascii="宋体" w:hAnsi="宋体" w:eastAsia="宋体" w:cs="宋体"/>
          <w:b/>
          <w:bCs/>
          <w:color w:val="auto"/>
          <w:szCs w:val="21"/>
          <w:highlight w:val="none"/>
        </w:rPr>
        <w:t xml:space="preserve">成交后根据本单位的最终总报价和首轮明细报价，自行调整各明细单价（原则上除不可竞争费外，其他各分项报价同比例下浮）直至合价和最终总报价（以</w:t>
      </w:r>
      <w:r>
        <w:rPr>
          <w:rFonts w:hint="eastAsia" w:ascii="宋体" w:hAnsi="宋体" w:eastAsia="宋体" w:cs="宋体"/>
          <w:b/>
          <w:bCs/>
          <w:color w:val="auto"/>
          <w:szCs w:val="21"/>
          <w:highlight w:val="none"/>
          <w:lang w:eastAsia="zh-CN"/>
        </w:rPr>
        <w:t xml:space="preserve">万</w:t>
      </w:r>
      <w:r>
        <w:rPr>
          <w:rFonts w:hint="eastAsia" w:ascii="宋体" w:hAnsi="宋体" w:eastAsia="宋体" w:cs="宋体"/>
          <w:b/>
          <w:bCs/>
          <w:color w:val="auto"/>
          <w:szCs w:val="21"/>
          <w:highlight w:val="none"/>
        </w:rPr>
        <w:t xml:space="preserve">元为单位，保留两位小数）相符，报采购人审核，审核通过后，后期根据审核后的明细报价，按实结算。</w:t>
      </w:r>
      <w:r/>
    </w:p>
    <w:p>
      <w:pPr>
        <w:jc w:val="center"/>
        <w:spacing w:before="312" w:line="360" w:lineRule="auto"/>
        <w:rPr>
          <w:rFonts w:ascii="宋体" w:hAnsi="宋体" w:cs="宋体"/>
          <w:b/>
          <w:color w:val="auto"/>
          <w:highlight w:val="none"/>
        </w:rPr>
      </w:pPr>
      <w:r/>
      <w:bookmarkStart w:id="479" w:name="_Hlt26955054"/>
      <w:r/>
      <w:bookmarkEnd w:id="479"/>
      <w:r>
        <w:rPr>
          <w:rFonts w:hint="eastAsia" w:ascii="宋体" w:hAnsi="宋体" w:cs="宋体"/>
          <w:b/>
          <w:color w:val="auto"/>
          <w:highlight w:val="none"/>
        </w:rPr>
        <w:t xml:space="preserve">主要标的信息（成交后将公示）</w:t>
      </w:r>
      <w:r/>
    </w:p>
    <w:p>
      <w:pPr>
        <w:spacing w:after="312" w:line="360" w:lineRule="auto"/>
        <w:rPr>
          <w:rFonts w:ascii="宋体" w:hAnsi="宋体" w:cs="宋体"/>
          <w:b/>
          <w:color w:val="auto"/>
          <w:highlight w:val="none"/>
        </w:rPr>
      </w:pPr>
      <w:r>
        <w:rPr>
          <w:rFonts w:hint="eastAsia" w:ascii="宋体" w:hAnsi="宋体" w:cs="宋体"/>
          <w:color w:val="auto"/>
          <w:highlight w:val="none"/>
        </w:rPr>
        <w:t xml:space="preserve">供应商全称：</w:t>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工程类</w:t>
            </w:r>
            <w:r/>
          </w:p>
        </w:tc>
      </w:tr>
      <w:tr>
        <w:trPr>
          <w:trHeight w:val="2384"/>
        </w:trPr>
        <w:tc>
          <w:tcPr>
            <w:tcW w:w="8149"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施工质量要求：</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项目负责人：</w:t>
            </w:r>
            <w:r/>
          </w:p>
          <w:p>
            <w:pPr>
              <w:spacing w:line="360" w:lineRule="auto"/>
              <w:rPr>
                <w:rFonts w:ascii="宋体" w:hAnsi="宋体" w:cs="宋体"/>
                <w:color w:val="auto"/>
                <w:highlight w:val="none"/>
              </w:rPr>
            </w:pPr>
            <w:r>
              <w:rPr>
                <w:rFonts w:hint="eastAsia" w:ascii="宋体" w:hAnsi="宋体" w:cs="宋体"/>
                <w:color w:val="auto"/>
                <w:highlight w:val="none"/>
              </w:rPr>
              <w:t xml:space="preserve">执业证书信息：</w:t>
            </w:r>
            <w:r/>
          </w:p>
        </w:tc>
      </w:tr>
    </w:tbl>
    <w:p>
      <w:pPr>
        <w:jc w:val="left"/>
        <w:spacing w:line="360" w:lineRule="auto"/>
        <w:widowControl/>
        <w:rPr>
          <w:rFonts w:ascii="宋体" w:hAnsi="宋体" w:cs="宋体"/>
          <w:color w:val="auto"/>
          <w:highlight w:val="none"/>
        </w:rPr>
      </w:pPr>
      <w:r>
        <w:rPr>
          <w:rFonts w:ascii="宋体" w:hAnsi="宋体" w:cs="宋体"/>
          <w:color w:val="auto"/>
          <w:highlight w:val="none"/>
        </w:rPr>
      </w:r>
      <w:bookmarkEnd w:id="482"/>
      <w:r/>
      <w:r/>
    </w:p>
    <w:sectPr>
      <w:footnotePr/>
      <w:endnotePr/>
      <w:type w:val="nextPage"/>
      <w:pgSz w:w="11906" w:h="16838" w:orient="portrait"/>
      <w:pgMar w:top="1440" w:right="1803" w:bottom="1440" w:left="1803" w:header="851" w:footer="992" w:gutter="0"/>
      <w:rtlGutter/>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S?o｡ﾀ?">
    <w:panose1 w:val="020B0503020202020204"/>
  </w:font>
  <w:font w:name="楷体_GB2312">
    <w:panose1 w:val="02010609060101010101"/>
  </w:font>
  <w:font w:name="Tahoma">
    <w:panose1 w:val="020B0604030504040204"/>
  </w:font>
  <w:font w:name="TimesNewRomanPSMT">
    <w:panose1 w:val="02020603050405020304"/>
  </w:font>
  <w:font w:name="Cambria">
    <w:panose1 w:val="02040503050406030204"/>
  </w:font>
  <w:font w:name="MingLiU">
    <w:panose1 w:val="02020500000000000000"/>
  </w:font>
  <w:font w:name="Courier New">
    <w:panose1 w:val="02070309020205020404"/>
  </w:font>
  <w:font w:name="华文细黑">
    <w:panose1 w:val="02010600040101010101"/>
  </w:font>
  <w:font w:name="PMingLiU">
    <w:panose1 w:val="02020500000000000000"/>
  </w:font>
  <w:font w:name="仿宋">
    <w:panose1 w:val="02010609060101010101"/>
  </w:font>
  <w:font w:name="MingLiU_HKSCS">
    <w:panose1 w:val="02020500000000000000"/>
  </w:font>
  <w:font w:name="华文中宋">
    <w:panose1 w:val="02010600040101010101"/>
  </w:font>
  <w:font w:name="仿宋_GB2312">
    <w:panose1 w:val="02010609060101010101"/>
  </w:font>
  <w:font w:name="幼圆">
    <w:panose1 w:val="02010509060101010101"/>
  </w:font>
  <w:font w:name="黑体">
    <w:panose1 w:val="02010609060101010101"/>
  </w:font>
  <w:font w:name="Calibri">
    <w:panose1 w:val="020F050202020403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jc w:val="center"/>
                          </w:pPr>
                          <w:r>
                            <w:fldChar w:fldCharType="begin"/>
                          </w:r>
                          <w:r>
                            <w:instrText xml:space="preserve">PAGE   \* MERGEFORMAT</w:instrText>
                          </w:r>
                          <w:r>
                            <w:fldChar w:fldCharType="separate"/>
                          </w:r>
                          <w:r>
                            <w:rPr>
                              <w:lang w:val="zh-CN"/>
                            </w:rP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jc w:val="center"/>
                    </w:pPr>
                    <w:r>
                      <w:fldChar w:fldCharType="begin"/>
                    </w:r>
                    <w:r>
                      <w:instrText xml:space="preserve">PAGE   \* MERGEFORMAT</w:instrText>
                    </w:r>
                    <w:r>
                      <w:fldChar w:fldCharType="separate"/>
                    </w:r>
                    <w:r>
                      <w:rPr>
                        <w:lang w:val="zh-CN"/>
                      </w:rPr>
                      <w:t xml:space="preserve">49</w:t>
                    </w:r>
                    <w:r>
                      <w:fldChar w:fldCharType="end"/>
                    </w:r>
                    <w:r/>
                  </w:p>
                </w:txbxContent>
              </v:textbox>
            </v:shape>
          </w:pict>
        </mc:Fallback>
      </mc:AlternateContent>
    </w:r>
    <w:r/>
  </w:p>
  <w:p>
    <w:pPr>
      <w:pStyle w:val="7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szCs w:val="22"/>
      </w:rPr>
      <w:pBdr>
        <w:bottom w:val="none" w:color="auto" w:sz="0" w:space="1"/>
      </w:pBdr>
    </w:pPr>
    <w:r/>
    <w:bookmarkStart w:id="480" w:name="_Hlk69393955"/>
    <w:r/>
    <w:bookmarkStart w:id="481" w:name="_Hlk69393956"/>
    <w:r>
      <w:t xml:space="preserve">                                </w:t>
    </w:r>
    <w:bookmarkEnd w:id="480"/>
    <w:r/>
    <w:bookmarkEnd w:id="481"/>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162"/>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tab"/>
      <w:lvlText w:val="(%1)"/>
      <w:lvlJc w:val="left"/>
      <w:pPr>
        <w:ind w:left="105"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4">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3">
    <w:name w:val="Footnote Text Char"/>
    <w:link w:val="802"/>
    <w:uiPriority w:val="99"/>
    <w:rPr>
      <w:sz w:val="18"/>
    </w:rPr>
  </w:style>
  <w:style w:type="paragraph" w:styleId="764" w:default="1">
    <w:name w:val="Normal"/>
    <w:uiPriority w:val="0"/>
    <w:qFormat/>
    <w:pPr>
      <w:jc w:val="both"/>
      <w:widowControl w:val="off"/>
    </w:pPr>
    <w:rPr>
      <w:rFonts w:ascii="Times New Roman" w:hAnsi="Times New Roman" w:eastAsia="宋体" w:cs="Calibri"/>
      <w:sz w:val="21"/>
      <w:szCs w:val="21"/>
      <w:lang w:val="en-US" w:eastAsia="zh-CN" w:bidi="ar-SA"/>
    </w:rPr>
  </w:style>
  <w:style w:type="paragraph" w:styleId="765">
    <w:name w:val="Heading 1"/>
    <w:basedOn w:val="764"/>
    <w:next w:val="764"/>
    <w:link w:val="972"/>
    <w:uiPriority w:val="0"/>
    <w:qFormat/>
    <w:pPr>
      <w:keepLines/>
      <w:keepNext/>
      <w:spacing w:before="340" w:after="330" w:line="578" w:lineRule="auto"/>
      <w:outlineLvl w:val="0"/>
    </w:pPr>
    <w:rPr>
      <w:rFonts w:cs="Times New Roman"/>
      <w:b/>
      <w:bCs/>
      <w:sz w:val="44"/>
      <w:szCs w:val="44"/>
    </w:rPr>
  </w:style>
  <w:style w:type="paragraph" w:styleId="766">
    <w:name w:val="Heading 2"/>
    <w:basedOn w:val="764"/>
    <w:next w:val="764"/>
    <w:link w:val="973"/>
    <w:uiPriority w:val="0"/>
    <w:semiHidden/>
    <w:unhideWhenUsed/>
    <w:qFormat/>
    <w:pPr>
      <w:jc w:val="center"/>
      <w:keepLines/>
      <w:keepNext/>
      <w:spacing w:before="260" w:after="260" w:line="416" w:lineRule="auto"/>
      <w:outlineLvl w:val="1"/>
    </w:pPr>
    <w:rPr>
      <w:rFonts w:ascii="Arial" w:hAnsi="Arial" w:eastAsia="幼圆" w:cs="Times New Roman"/>
      <w:b/>
      <w:bCs/>
      <w:sz w:val="44"/>
      <w:szCs w:val="44"/>
    </w:rPr>
  </w:style>
  <w:style w:type="paragraph" w:styleId="767">
    <w:name w:val="Heading 3"/>
    <w:basedOn w:val="764"/>
    <w:next w:val="764"/>
    <w:link w:val="971"/>
    <w:uiPriority w:val="0"/>
    <w:semiHidden/>
    <w:unhideWhenUsed/>
    <w:qFormat/>
    <w:pPr>
      <w:keepLines/>
      <w:keepNext/>
      <w:spacing w:before="260" w:after="260" w:line="416" w:lineRule="auto"/>
      <w:outlineLvl w:val="2"/>
    </w:pPr>
    <w:rPr>
      <w:rFonts w:cs="Times New Roman"/>
      <w:b/>
      <w:bCs/>
      <w:sz w:val="32"/>
      <w:szCs w:val="32"/>
    </w:rPr>
  </w:style>
  <w:style w:type="paragraph" w:styleId="768">
    <w:name w:val="Heading 4"/>
    <w:basedOn w:val="767"/>
    <w:next w:val="776"/>
    <w:link w:val="975"/>
    <w:uiPriority w:val="0"/>
    <w:semiHidden/>
    <w:unhideWhenUsed/>
    <w:qFormat/>
    <w:pPr>
      <w:jc w:val="center"/>
      <w:spacing w:before="280" w:after="290" w:line="372" w:lineRule="auto"/>
      <w:outlineLvl w:val="3"/>
    </w:pPr>
    <w:rPr>
      <w:rFonts w:ascii="Arial" w:hAnsi="Arial" w:eastAsia="黑体"/>
      <w:szCs w:val="20"/>
    </w:rPr>
  </w:style>
  <w:style w:type="paragraph" w:styleId="769">
    <w:name w:val="Heading 5"/>
    <w:basedOn w:val="764"/>
    <w:next w:val="764"/>
    <w:link w:val="976"/>
    <w:uiPriority w:val="0"/>
    <w:semiHidden/>
    <w:unhideWhenUsed/>
    <w:qFormat/>
    <w:pPr>
      <w:keepLines/>
      <w:keepNext/>
      <w:spacing w:before="280" w:after="290" w:line="376" w:lineRule="auto"/>
      <w:outlineLvl w:val="4"/>
    </w:pPr>
    <w:rPr>
      <w:b/>
      <w:bCs/>
      <w:sz w:val="28"/>
      <w:szCs w:val="28"/>
    </w:rPr>
  </w:style>
  <w:style w:type="paragraph" w:styleId="770">
    <w:name w:val="Heading 6"/>
    <w:basedOn w:val="764"/>
    <w:next w:val="764"/>
    <w:link w:val="977"/>
    <w:uiPriority w:val="0"/>
    <w:semiHidden/>
    <w:unhideWhenUsed/>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771">
    <w:name w:val="Heading 7"/>
    <w:basedOn w:val="764"/>
    <w:next w:val="764"/>
    <w:link w:val="978"/>
    <w:uiPriority w:val="0"/>
    <w:semiHidden/>
    <w:unhideWhenUsed/>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772">
    <w:name w:val="Heading 8"/>
    <w:basedOn w:val="764"/>
    <w:next w:val="764"/>
    <w:link w:val="979"/>
    <w:uiPriority w:val="0"/>
    <w:semiHidden/>
    <w:unhideWhenUsed/>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773">
    <w:name w:val="Heading 9"/>
    <w:basedOn w:val="764"/>
    <w:next w:val="764"/>
    <w:link w:val="980"/>
    <w:uiPriority w:val="0"/>
    <w:semiHidden/>
    <w:unhideWhenUsed/>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customStyle="1">
    <w:name w:val="HTZH-正文格式"/>
    <w:basedOn w:val="764"/>
    <w:uiPriority w:val="0"/>
    <w:qFormat/>
    <w:pPr>
      <w:ind w:firstLine="560"/>
      <w:spacing w:line="360" w:lineRule="auto"/>
    </w:pPr>
    <w:rPr>
      <w:rFonts w:eastAsia="仿宋" w:cs="宋体"/>
      <w:sz w:val="28"/>
      <w:szCs w:val="20"/>
    </w:rPr>
  </w:style>
  <w:style w:type="paragraph" w:styleId="777">
    <w:name w:val="toc 7"/>
    <w:basedOn w:val="764"/>
    <w:next w:val="764"/>
    <w:uiPriority w:val="0"/>
    <w:qFormat/>
    <w:pPr>
      <w:ind w:left="1260"/>
      <w:jc w:val="left"/>
    </w:pPr>
    <w:rPr>
      <w:rFonts w:cs="Times New Roman"/>
      <w:sz w:val="18"/>
      <w:szCs w:val="20"/>
    </w:rPr>
  </w:style>
  <w:style w:type="paragraph" w:styleId="778">
    <w:name w:val="Normal Indent"/>
    <w:basedOn w:val="764"/>
    <w:link w:val="974"/>
    <w:uiPriority w:val="0"/>
    <w:qFormat/>
    <w:pPr>
      <w:ind w:firstLine="420"/>
    </w:pPr>
    <w:rPr>
      <w:rFonts w:cs="Times New Roman"/>
    </w:rPr>
  </w:style>
  <w:style w:type="paragraph" w:styleId="779">
    <w:name w:val="Caption"/>
    <w:basedOn w:val="764"/>
    <w:next w:val="764"/>
    <w:uiPriority w:val="0"/>
    <w:semiHidden/>
    <w:unhideWhenUsed/>
    <w:qFormat/>
    <w:rPr>
      <w:rFonts w:ascii="Arial" w:hAnsi="Arial" w:eastAsia="黑体" w:cs="Arial"/>
      <w:sz w:val="20"/>
      <w:szCs w:val="20"/>
    </w:rPr>
  </w:style>
  <w:style w:type="paragraph" w:styleId="780">
    <w:name w:val="Document Map"/>
    <w:basedOn w:val="764"/>
    <w:link w:val="981"/>
    <w:uiPriority w:val="0"/>
    <w:qFormat/>
    <w:rPr>
      <w:rFonts w:ascii="宋体" w:cs="Times New Roman"/>
      <w:sz w:val="18"/>
      <w:szCs w:val="18"/>
    </w:rPr>
  </w:style>
  <w:style w:type="paragraph" w:styleId="781">
    <w:name w:val="annotation text"/>
    <w:basedOn w:val="764"/>
    <w:link w:val="1001"/>
    <w:uiPriority w:val="0"/>
    <w:qFormat/>
    <w:pPr>
      <w:jc w:val="left"/>
    </w:pPr>
  </w:style>
  <w:style w:type="paragraph" w:styleId="782">
    <w:name w:val="Salutation"/>
    <w:basedOn w:val="764"/>
    <w:next w:val="764"/>
    <w:link w:val="1002"/>
    <w:uiPriority w:val="0"/>
    <w:qFormat/>
    <w:rPr>
      <w:rFonts w:cs="Times New Roman"/>
      <w:szCs w:val="24"/>
    </w:rPr>
  </w:style>
  <w:style w:type="paragraph" w:styleId="783">
    <w:name w:val="Body Text 3"/>
    <w:basedOn w:val="764"/>
    <w:link w:val="1003"/>
    <w:uiPriority w:val="0"/>
    <w:qFormat/>
    <w:rPr>
      <w:rFonts w:ascii="宋体" w:cs="Times New Roman"/>
      <w:sz w:val="24"/>
      <w:szCs w:val="20"/>
    </w:rPr>
  </w:style>
  <w:style w:type="paragraph" w:styleId="784">
    <w:name w:val="Body Text"/>
    <w:basedOn w:val="764"/>
    <w:link w:val="1004"/>
    <w:uiPriority w:val="0"/>
    <w:qFormat/>
    <w:pPr>
      <w:spacing w:after="120"/>
    </w:pPr>
    <w:rPr>
      <w:rFonts w:cs="Times New Roman"/>
      <w:szCs w:val="20"/>
    </w:rPr>
  </w:style>
  <w:style w:type="paragraph" w:styleId="785">
    <w:name w:val="Body Text Indent"/>
    <w:basedOn w:val="764"/>
    <w:link w:val="986"/>
    <w:uiPriority w:val="0"/>
    <w:qFormat/>
    <w:pPr>
      <w:ind w:left="420"/>
      <w:spacing w:after="120"/>
    </w:pPr>
    <w:rPr>
      <w:rFonts w:cs="Times New Roman"/>
    </w:rPr>
  </w:style>
  <w:style w:type="paragraph" w:styleId="786">
    <w:name w:val="Block Text"/>
    <w:basedOn w:val="764"/>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787">
    <w:name w:val="index 4"/>
    <w:basedOn w:val="764"/>
    <w:next w:val="764"/>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788">
    <w:name w:val="toc 5"/>
    <w:basedOn w:val="764"/>
    <w:next w:val="764"/>
    <w:uiPriority w:val="0"/>
    <w:qFormat/>
    <w:pPr>
      <w:ind w:left="840"/>
      <w:jc w:val="left"/>
    </w:pPr>
    <w:rPr>
      <w:rFonts w:cs="Times New Roman"/>
      <w:sz w:val="18"/>
      <w:szCs w:val="20"/>
    </w:rPr>
  </w:style>
  <w:style w:type="paragraph" w:styleId="789">
    <w:name w:val="toc 3"/>
    <w:basedOn w:val="764"/>
    <w:next w:val="764"/>
    <w:uiPriority w:val="0"/>
    <w:qFormat/>
    <w:pPr>
      <w:ind w:left="420"/>
      <w:jc w:val="left"/>
    </w:pPr>
    <w:rPr>
      <w:rFonts w:cs="Times New Roman"/>
      <w:sz w:val="20"/>
      <w:szCs w:val="20"/>
    </w:rPr>
  </w:style>
  <w:style w:type="paragraph" w:styleId="790">
    <w:name w:val="Plain Text"/>
    <w:basedOn w:val="764"/>
    <w:next w:val="791"/>
    <w:link w:val="987"/>
    <w:uiPriority w:val="0"/>
    <w:qFormat/>
    <w:rPr>
      <w:rFonts w:ascii="宋体" w:hAnsi="Courier New" w:cs="Times New Roman"/>
      <w:sz w:val="20"/>
      <w:szCs w:val="20"/>
    </w:rPr>
  </w:style>
  <w:style w:type="paragraph" w:styleId="791" w:customStyle="1">
    <w:name w:val="Char Char Char Char Char"/>
    <w:basedOn w:val="764"/>
    <w:next w:val="764"/>
    <w:uiPriority w:val="0"/>
    <w:qFormat/>
    <w:pPr>
      <w:ind w:left="0" w:firstLine="5632"/>
      <w:jc w:val="both"/>
      <w:spacing w:before="0" w:after="0" w:line="240" w:lineRule="auto"/>
      <w:widowControl w:val="off"/>
    </w:pPr>
  </w:style>
  <w:style w:type="paragraph" w:styleId="792">
    <w:name w:val="toc 8"/>
    <w:basedOn w:val="764"/>
    <w:next w:val="764"/>
    <w:uiPriority w:val="0"/>
    <w:qFormat/>
    <w:pPr>
      <w:ind w:left="1470"/>
      <w:jc w:val="left"/>
    </w:pPr>
    <w:rPr>
      <w:rFonts w:cs="Times New Roman"/>
      <w:sz w:val="18"/>
      <w:szCs w:val="20"/>
    </w:rPr>
  </w:style>
  <w:style w:type="paragraph" w:styleId="793">
    <w:name w:val="Date"/>
    <w:basedOn w:val="764"/>
    <w:next w:val="764"/>
    <w:link w:val="988"/>
    <w:uiPriority w:val="0"/>
    <w:qFormat/>
    <w:pPr>
      <w:ind w:left="100"/>
      <w:jc w:val="left"/>
    </w:pPr>
    <w:rPr>
      <w:rFonts w:cs="Times New Roman"/>
    </w:rPr>
  </w:style>
  <w:style w:type="paragraph" w:styleId="794">
    <w:name w:val="Body Text Indent 2"/>
    <w:basedOn w:val="764"/>
    <w:link w:val="989"/>
    <w:uiPriority w:val="0"/>
    <w:qFormat/>
    <w:pPr>
      <w:ind w:firstLine="630"/>
    </w:pPr>
    <w:rPr>
      <w:rFonts w:cs="Times New Roman"/>
    </w:rPr>
  </w:style>
  <w:style w:type="paragraph" w:styleId="795">
    <w:name w:val="endnote text"/>
    <w:basedOn w:val="764"/>
    <w:link w:val="1005"/>
    <w:uiPriority w:val="0"/>
    <w:qFormat/>
    <w:pPr>
      <w:jc w:val="left"/>
    </w:pPr>
    <w:rPr>
      <w:rFonts w:ascii="MingLiU" w:eastAsia="MingLiU" w:cs="Times New Roman"/>
      <w:sz w:val="20"/>
      <w:szCs w:val="20"/>
      <w:lang w:eastAsia="zh-TW"/>
    </w:rPr>
  </w:style>
  <w:style w:type="paragraph" w:styleId="796">
    <w:name w:val="Balloon Text"/>
    <w:basedOn w:val="764"/>
    <w:link w:val="991"/>
    <w:uiPriority w:val="0"/>
    <w:qFormat/>
    <w:rPr>
      <w:rFonts w:cs="Times New Roman"/>
      <w:sz w:val="18"/>
      <w:szCs w:val="18"/>
    </w:rPr>
  </w:style>
  <w:style w:type="paragraph" w:styleId="797">
    <w:name w:val="Footer"/>
    <w:basedOn w:val="764"/>
    <w:link w:val="992"/>
    <w:uiPriority w:val="0"/>
    <w:qFormat/>
    <w:pPr>
      <w:jc w:val="left"/>
      <w:tabs>
        <w:tab w:val="center" w:pos="4153" w:leader="none"/>
        <w:tab w:val="right" w:pos="8306" w:leader="none"/>
      </w:tabs>
    </w:pPr>
    <w:rPr>
      <w:rFonts w:cs="Times New Roman"/>
      <w:sz w:val="18"/>
      <w:szCs w:val="18"/>
    </w:rPr>
  </w:style>
  <w:style w:type="paragraph" w:styleId="798">
    <w:name w:val="Header"/>
    <w:basedOn w:val="764"/>
    <w:link w:val="993"/>
    <w:uiPriority w:val="0"/>
    <w:qFormat/>
    <w:pPr>
      <w:jc w:val="center"/>
      <w:tabs>
        <w:tab w:val="center" w:pos="4153" w:leader="none"/>
        <w:tab w:val="right" w:pos="8306" w:leader="none"/>
      </w:tabs>
      <w:pBdr>
        <w:bottom w:val="single" w:color="auto" w:sz="6" w:space="1"/>
      </w:pBdr>
    </w:pPr>
    <w:rPr>
      <w:rFonts w:cs="Times New Roman"/>
      <w:sz w:val="18"/>
      <w:szCs w:val="18"/>
    </w:rPr>
  </w:style>
  <w:style w:type="paragraph" w:styleId="799">
    <w:name w:val="toc 1"/>
    <w:basedOn w:val="764"/>
    <w:next w:val="764"/>
    <w:uiPriority w:val="0"/>
    <w:qFormat/>
    <w:pPr>
      <w:jc w:val="left"/>
      <w:spacing w:before="120" w:after="120"/>
    </w:pPr>
    <w:rPr>
      <w:rFonts w:cs="Times New Roman"/>
      <w:b/>
      <w:caps/>
      <w:sz w:val="20"/>
      <w:szCs w:val="20"/>
    </w:rPr>
  </w:style>
  <w:style w:type="paragraph" w:styleId="800">
    <w:name w:val="toc 4"/>
    <w:basedOn w:val="764"/>
    <w:next w:val="764"/>
    <w:uiPriority w:val="0"/>
    <w:qFormat/>
    <w:pPr>
      <w:ind w:left="630"/>
      <w:jc w:val="left"/>
    </w:pPr>
    <w:rPr>
      <w:rFonts w:cs="Times New Roman"/>
      <w:sz w:val="18"/>
      <w:szCs w:val="20"/>
    </w:rPr>
  </w:style>
  <w:style w:type="paragraph" w:styleId="801">
    <w:name w:val="Subtitle"/>
    <w:basedOn w:val="764"/>
    <w:next w:val="764"/>
    <w:link w:val="994"/>
    <w:uiPriority w:val="0"/>
    <w:qFormat/>
    <w:pPr>
      <w:jc w:val="center"/>
      <w:spacing w:after="60"/>
      <w:outlineLvl w:val="1"/>
    </w:pPr>
    <w:rPr>
      <w:rFonts w:ascii="Cambria" w:hAnsi="Cambria" w:cs="Times New Roman"/>
      <w:sz w:val="24"/>
      <w:szCs w:val="24"/>
    </w:rPr>
  </w:style>
  <w:style w:type="paragraph" w:styleId="802">
    <w:name w:val="footnote text"/>
    <w:basedOn w:val="764"/>
    <w:link w:val="968"/>
    <w:uiPriority w:val="99"/>
    <w:semiHidden/>
    <w:unhideWhenUsed/>
    <w:qFormat/>
    <w:pPr>
      <w:spacing w:after="40"/>
    </w:pPr>
    <w:rPr>
      <w:sz w:val="18"/>
    </w:rPr>
  </w:style>
  <w:style w:type="paragraph" w:styleId="803">
    <w:name w:val="toc 6"/>
    <w:basedOn w:val="764"/>
    <w:next w:val="764"/>
    <w:uiPriority w:val="0"/>
    <w:qFormat/>
    <w:pPr>
      <w:ind w:left="1050"/>
      <w:jc w:val="left"/>
    </w:pPr>
    <w:rPr>
      <w:rFonts w:cs="Times New Roman"/>
      <w:sz w:val="18"/>
      <w:szCs w:val="20"/>
    </w:rPr>
  </w:style>
  <w:style w:type="paragraph" w:styleId="804">
    <w:name w:val="Body Text Indent 3"/>
    <w:basedOn w:val="764"/>
    <w:link w:val="995"/>
    <w:uiPriority w:val="0"/>
    <w:qFormat/>
    <w:pPr>
      <w:ind w:left="420"/>
      <w:spacing w:after="120"/>
    </w:pPr>
    <w:rPr>
      <w:rFonts w:cs="Times New Roman"/>
      <w:sz w:val="16"/>
      <w:szCs w:val="16"/>
    </w:rPr>
  </w:style>
  <w:style w:type="paragraph" w:styleId="805">
    <w:name w:val="table of figures"/>
    <w:basedOn w:val="764"/>
    <w:next w:val="764"/>
    <w:uiPriority w:val="99"/>
    <w:unhideWhenUsed/>
    <w:qFormat/>
  </w:style>
  <w:style w:type="paragraph" w:styleId="806">
    <w:name w:val="toc 2"/>
    <w:basedOn w:val="764"/>
    <w:next w:val="764"/>
    <w:uiPriority w:val="0"/>
    <w:qFormat/>
    <w:pPr>
      <w:ind w:left="210"/>
      <w:jc w:val="left"/>
    </w:pPr>
    <w:rPr>
      <w:rFonts w:cs="Times New Roman"/>
      <w:smallCaps/>
      <w:sz w:val="20"/>
      <w:szCs w:val="20"/>
    </w:rPr>
  </w:style>
  <w:style w:type="paragraph" w:styleId="807">
    <w:name w:val="toc 9"/>
    <w:basedOn w:val="764"/>
    <w:next w:val="764"/>
    <w:uiPriority w:val="0"/>
    <w:qFormat/>
    <w:pPr>
      <w:ind w:left="1680"/>
      <w:jc w:val="left"/>
    </w:pPr>
    <w:rPr>
      <w:rFonts w:cs="Times New Roman"/>
      <w:sz w:val="18"/>
      <w:szCs w:val="20"/>
    </w:rPr>
  </w:style>
  <w:style w:type="paragraph" w:styleId="808">
    <w:name w:val="Body Text 2"/>
    <w:basedOn w:val="764"/>
    <w:link w:val="1006"/>
    <w:uiPriority w:val="0"/>
    <w:qFormat/>
    <w:pPr>
      <w:ind w:right="-100"/>
      <w:widowControl/>
      <w:tabs>
        <w:tab w:val="left" w:pos="1134" w:leader="none"/>
        <w:tab w:val="left" w:pos="1985" w:leader="none"/>
      </w:tabs>
    </w:pPr>
    <w:rPr>
      <w:rFonts w:ascii="PMingLiU" w:cs="Times New Roman"/>
      <w:sz w:val="24"/>
      <w:szCs w:val="20"/>
    </w:rPr>
  </w:style>
  <w:style w:type="paragraph" w:styleId="809">
    <w:name w:val="Normal (Web)"/>
    <w:basedOn w:val="764"/>
    <w:uiPriority w:val="0"/>
    <w:qFormat/>
    <w:pPr>
      <w:jc w:val="left"/>
      <w:spacing w:before="100" w:beforeAutospacing="1" w:after="100" w:afterAutospacing="1"/>
    </w:pPr>
    <w:rPr>
      <w:sz w:val="24"/>
      <w:szCs w:val="24"/>
    </w:rPr>
  </w:style>
  <w:style w:type="paragraph" w:styleId="810">
    <w:name w:val="index 1"/>
    <w:basedOn w:val="764"/>
    <w:next w:val="764"/>
    <w:uiPriority w:val="0"/>
    <w:qFormat/>
    <w:pPr>
      <w:jc w:val="center"/>
      <w:spacing w:line="220" w:lineRule="exact"/>
    </w:pPr>
    <w:rPr>
      <w:rFonts w:ascii="仿宋_GB2312" w:eastAsia="仿宋_GB2312" w:cs="Times New Roman"/>
      <w:szCs w:val="20"/>
    </w:rPr>
  </w:style>
  <w:style w:type="paragraph" w:styleId="811">
    <w:name w:val="Title"/>
    <w:basedOn w:val="764"/>
    <w:link w:val="1007"/>
    <w:uiPriority w:val="0"/>
    <w:qFormat/>
    <w:pPr>
      <w:jc w:val="center"/>
      <w:spacing w:before="240" w:after="60" w:line="420" w:lineRule="atLeast"/>
      <w:outlineLvl w:val="0"/>
    </w:pPr>
    <w:rPr>
      <w:rFonts w:ascii="Arial" w:hAnsi="Arial" w:cs="Times New Roman"/>
      <w:b/>
      <w:sz w:val="32"/>
      <w:szCs w:val="20"/>
    </w:rPr>
  </w:style>
  <w:style w:type="paragraph" w:styleId="812">
    <w:name w:val="annotation subject"/>
    <w:basedOn w:val="781"/>
    <w:next w:val="781"/>
    <w:link w:val="1008"/>
    <w:uiPriority w:val="0"/>
    <w:qFormat/>
    <w:pPr>
      <w:jc w:val="both"/>
    </w:pPr>
    <w:rPr>
      <w:rFonts w:cs="Times New Roman"/>
      <w:b/>
      <w:szCs w:val="20"/>
    </w:rPr>
  </w:style>
  <w:style w:type="paragraph" w:styleId="813">
    <w:name w:val="Body Text First Indent"/>
    <w:basedOn w:val="764"/>
    <w:link w:val="1009"/>
    <w:uiPriority w:val="0"/>
    <w:qFormat/>
    <w:pPr>
      <w:ind w:firstLine="420"/>
      <w:spacing w:line="312" w:lineRule="auto"/>
    </w:pPr>
    <w:rPr>
      <w:rFonts w:cs="Times New Roman"/>
      <w:szCs w:val="20"/>
    </w:rPr>
  </w:style>
  <w:style w:type="paragraph" w:styleId="814">
    <w:name w:val="Body Text First Indent 2"/>
    <w:basedOn w:val="785"/>
    <w:link w:val="1010"/>
    <w:uiPriority w:val="0"/>
    <w:qFormat/>
    <w:pPr>
      <w:ind w:left="0" w:firstLine="210"/>
    </w:pPr>
    <w:rPr>
      <w:szCs w:val="20"/>
    </w:rPr>
  </w:style>
  <w:style w:type="table" w:styleId="815">
    <w:name w:val="Table Grid"/>
    <w:basedOn w:val="775"/>
    <w:uiPriority w:val="0"/>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6">
    <w:name w:val="Strong"/>
    <w:uiPriority w:val="0"/>
    <w:qFormat/>
    <w:rPr>
      <w:b/>
      <w:bCs/>
    </w:rPr>
  </w:style>
  <w:style w:type="character" w:styleId="817">
    <w:name w:val="endnote reference"/>
    <w:uiPriority w:val="0"/>
    <w:qFormat/>
    <w:rPr>
      <w:vertAlign w:val="superscript"/>
    </w:rPr>
  </w:style>
  <w:style w:type="character" w:styleId="818">
    <w:name w:val="page number"/>
    <w:basedOn w:val="774"/>
    <w:uiPriority w:val="0"/>
    <w:qFormat/>
  </w:style>
  <w:style w:type="character" w:styleId="819">
    <w:name w:val="FollowedHyperlink"/>
    <w:basedOn w:val="774"/>
    <w:uiPriority w:val="0"/>
    <w:qFormat/>
    <w:rPr>
      <w:color w:val="800080"/>
      <w:u w:val="single"/>
    </w:rPr>
  </w:style>
  <w:style w:type="character" w:styleId="820">
    <w:name w:val="Emphasis"/>
    <w:uiPriority w:val="0"/>
    <w:qFormat/>
    <w:rPr>
      <w:b/>
      <w:bCs/>
    </w:rPr>
  </w:style>
  <w:style w:type="character" w:styleId="821">
    <w:name w:val="line number"/>
    <w:basedOn w:val="774"/>
    <w:uiPriority w:val="0"/>
    <w:qFormat/>
  </w:style>
  <w:style w:type="character" w:styleId="822">
    <w:name w:val="Hyperlink"/>
    <w:basedOn w:val="774"/>
    <w:uiPriority w:val="0"/>
    <w:qFormat/>
    <w:rPr>
      <w:color w:val="0000ff"/>
      <w:u w:val="single"/>
    </w:rPr>
  </w:style>
  <w:style w:type="character" w:styleId="823">
    <w:name w:val="annotation reference"/>
    <w:uiPriority w:val="0"/>
    <w:qFormat/>
    <w:rPr>
      <w:sz w:val="21"/>
    </w:rPr>
  </w:style>
  <w:style w:type="character" w:styleId="824">
    <w:name w:val="footnote reference"/>
    <w:uiPriority w:val="0"/>
    <w:qFormat/>
    <w:rPr>
      <w:vertAlign w:val="superscript"/>
    </w:rPr>
  </w:style>
  <w:style w:type="paragraph" w:styleId="825" w:customStyle="1">
    <w:name w:val="正文文本缩进12"/>
    <w:basedOn w:val="764"/>
    <w:next w:val="826"/>
    <w:uiPriority w:val="0"/>
    <w:qFormat/>
    <w:pPr>
      <w:ind w:firstLine="567"/>
      <w:spacing w:line="500" w:lineRule="exact"/>
      <w:tabs>
        <w:tab w:val="left" w:pos="0" w:leader="none"/>
        <w:tab w:val="left" w:pos="993" w:leader="none"/>
        <w:tab w:val="left" w:pos="1134" w:leader="none"/>
      </w:tabs>
    </w:pPr>
    <w:rPr>
      <w:rFonts w:ascii="宋体" w:hAnsi="Calibri" w:eastAsia="宋体" w:cs="Times New Roman"/>
      <w:sz w:val="28"/>
      <w:lang w:val="en-US" w:eastAsia="zh-CN" w:bidi="ar-SA"/>
    </w:rPr>
  </w:style>
  <w:style w:type="paragraph" w:styleId="826" w:customStyle="1">
    <w:name w:val="寄信人地址11"/>
    <w:basedOn w:val="764"/>
    <w:uiPriority w:val="0"/>
    <w:qFormat/>
    <w:rPr>
      <w:rFonts w:ascii="Arial" w:hAnsi="Arial" w:eastAsia="宋体" w:cs="Times New Roman"/>
      <w:lang w:val="en-US" w:eastAsia="zh-CN" w:bidi="ar-SA"/>
    </w:rPr>
  </w:style>
  <w:style w:type="paragraph" w:styleId="827" w:customStyle="1">
    <w:name w:val="正文1"/>
    <w:next w:val="828"/>
    <w:uiPriority w:val="0"/>
    <w:qFormat/>
    <w:rPr>
      <w:rFonts w:ascii="Times New Roman" w:hAnsi="Times New Roman" w:eastAsia="宋体" w:cs="Times New Roman"/>
      <w:sz w:val="24"/>
      <w:szCs w:val="24"/>
      <w:lang w:val="en-US" w:eastAsia="zh-CN" w:bidi="ar-SA"/>
    </w:rPr>
  </w:style>
  <w:style w:type="paragraph" w:styleId="828" w:customStyle="1">
    <w:name w:val="正文文本1"/>
    <w:basedOn w:val="829"/>
    <w:next w:val="830"/>
    <w:link w:val="1054"/>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829" w:customStyle="1">
    <w:name w:val="正文2"/>
    <w:uiPriority w:val="0"/>
    <w:qFormat/>
    <w:rPr>
      <w:rFonts w:ascii="Times New Roman" w:hAnsi="Times New Roman" w:eastAsia="宋体" w:cs="Times New Roman"/>
      <w:sz w:val="24"/>
      <w:szCs w:val="24"/>
      <w:lang w:val="en-US" w:eastAsia="zh-CN" w:bidi="ar-SA"/>
    </w:rPr>
  </w:style>
  <w:style w:type="paragraph" w:styleId="830" w:customStyle="1">
    <w:name w:val="一级条标题"/>
    <w:basedOn w:val="831"/>
    <w:next w:val="8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1" w:customStyle="1">
    <w:name w:val="章标题"/>
    <w:next w:val="76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32" w:customStyle="1">
    <w:name w:val="段"/>
    <w:basedOn w:val="827"/>
    <w:next w:val="764"/>
    <w:uiPriority w:val="0"/>
    <w:qFormat/>
    <w:pPr>
      <w:ind w:firstLine="200"/>
    </w:pPr>
    <w:rPr>
      <w:rFonts w:ascii="宋体"/>
      <w:sz w:val="20"/>
      <w:szCs w:val="20"/>
    </w:rPr>
  </w:style>
  <w:style w:type="paragraph" w:styleId="833" w:customStyle="1">
    <w:name w:val="正文（缩进）"/>
    <w:basedOn w:val="764"/>
    <w:uiPriority w:val="0"/>
    <w:qFormat/>
    <w:pPr>
      <w:ind w:firstLine="480"/>
      <w:spacing w:before="156" w:after="156"/>
    </w:pPr>
    <w:rPr>
      <w:rFonts w:cs="Times New Roman"/>
    </w:rPr>
  </w:style>
  <w:style w:type="character" w:styleId="834" w:customStyle="1">
    <w:name w:val="Heading 5 Char"/>
    <w:basedOn w:val="774"/>
    <w:uiPriority w:val="9"/>
    <w:qFormat/>
    <w:rPr>
      <w:rFonts w:ascii="Arial" w:hAnsi="Arial" w:eastAsia="Arial" w:cs="Arial"/>
      <w:b/>
      <w:bCs/>
      <w:sz w:val="24"/>
      <w:szCs w:val="24"/>
    </w:rPr>
  </w:style>
  <w:style w:type="character" w:styleId="835" w:customStyle="1">
    <w:name w:val="Heading 6 Char"/>
    <w:basedOn w:val="774"/>
    <w:uiPriority w:val="9"/>
    <w:qFormat/>
    <w:rPr>
      <w:rFonts w:ascii="Arial" w:hAnsi="Arial" w:eastAsia="Arial" w:cs="Arial"/>
      <w:b/>
      <w:bCs/>
      <w:sz w:val="22"/>
      <w:szCs w:val="22"/>
    </w:rPr>
  </w:style>
  <w:style w:type="character" w:styleId="836" w:customStyle="1">
    <w:name w:val="Heading 7 Char"/>
    <w:basedOn w:val="774"/>
    <w:uiPriority w:val="9"/>
    <w:qFormat/>
    <w:rPr>
      <w:rFonts w:ascii="Arial" w:hAnsi="Arial" w:eastAsia="Arial" w:cs="Arial"/>
      <w:b/>
      <w:bCs/>
      <w:i/>
      <w:iCs/>
      <w:sz w:val="22"/>
      <w:szCs w:val="22"/>
    </w:rPr>
  </w:style>
  <w:style w:type="character" w:styleId="837" w:customStyle="1">
    <w:name w:val="Heading 8 Char"/>
    <w:basedOn w:val="774"/>
    <w:uiPriority w:val="9"/>
    <w:qFormat/>
    <w:rPr>
      <w:rFonts w:ascii="Arial" w:hAnsi="Arial" w:eastAsia="Arial" w:cs="Arial"/>
      <w:i/>
      <w:iCs/>
      <w:sz w:val="22"/>
      <w:szCs w:val="22"/>
    </w:rPr>
  </w:style>
  <w:style w:type="character" w:styleId="838" w:customStyle="1">
    <w:name w:val="Heading 9 Char"/>
    <w:basedOn w:val="774"/>
    <w:uiPriority w:val="9"/>
    <w:qFormat/>
    <w:rPr>
      <w:rFonts w:ascii="Arial" w:hAnsi="Arial" w:eastAsia="Arial" w:cs="Arial"/>
      <w:i/>
      <w:iCs/>
      <w:sz w:val="21"/>
      <w:szCs w:val="21"/>
    </w:rPr>
  </w:style>
  <w:style w:type="character" w:styleId="839" w:customStyle="1">
    <w:name w:val="Subtitle Char"/>
    <w:basedOn w:val="774"/>
    <w:uiPriority w:val="11"/>
    <w:qFormat/>
    <w:rPr>
      <w:sz w:val="24"/>
      <w:szCs w:val="24"/>
    </w:rPr>
  </w:style>
  <w:style w:type="character" w:styleId="840" w:customStyle="1">
    <w:name w:val="Quote Char"/>
    <w:uiPriority w:val="29"/>
    <w:qFormat/>
    <w:rPr>
      <w:i/>
    </w:rPr>
  </w:style>
  <w:style w:type="character" w:styleId="841" w:customStyle="1">
    <w:name w:val="Intense Quote Char"/>
    <w:uiPriority w:val="30"/>
    <w:qFormat/>
    <w:rPr>
      <w:i/>
    </w:rPr>
  </w:style>
  <w:style w:type="character" w:styleId="842" w:customStyle="1">
    <w:name w:val="Caption Char"/>
    <w:uiPriority w:val="99"/>
    <w:qFormat/>
  </w:style>
  <w:style w:type="table" w:styleId="843" w:customStyle="1">
    <w:name w:val="Table Grid Light"/>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4" w:customStyle="1">
    <w:name w:val="无格式表格 11"/>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7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basedOn w:val="7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7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basedOn w:val="7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7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7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7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7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basedOn w:val="77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7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7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7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7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7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7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basedOn w:val="7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7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7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7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7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7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7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basedOn w:val="7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7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7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7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7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7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7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77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7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7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7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7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7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7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basedOn w:val="77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7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7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7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7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7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7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7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7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7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802"/>
    <w:uiPriority w:val="99"/>
    <w:qFormat/>
    <w:rPr>
      <w:sz w:val="18"/>
    </w:rPr>
  </w:style>
  <w:style w:type="character" w:styleId="969" w:customStyle="1">
    <w:name w:val="Endnote Text Char"/>
    <w:uiPriority w:val="99"/>
    <w:qFormat/>
    <w:rPr>
      <w:sz w:val="20"/>
    </w:rPr>
  </w:style>
  <w:style w:type="paragraph" w:styleId="970" w:customStyle="1">
    <w:name w:val="TOC 标题1"/>
    <w:uiPriority w:val="39"/>
    <w:unhideWhenUsed/>
    <w:qFormat/>
    <w:rPr>
      <w:rFonts w:ascii="Times New Roman" w:hAnsi="Times New Roman" w:eastAsia="宋体" w:cs="Times New Roman"/>
      <w:lang w:val="en-US" w:eastAsia="zh-CN" w:bidi="ar-SA"/>
    </w:rPr>
  </w:style>
  <w:style w:type="character" w:styleId="971" w:customStyle="1">
    <w:name w:val="标题 3 字符"/>
    <w:link w:val="767"/>
    <w:uiPriority w:val="99"/>
    <w:qFormat/>
    <w:rPr>
      <w:b/>
      <w:bCs/>
      <w:sz w:val="32"/>
      <w:szCs w:val="32"/>
    </w:rPr>
  </w:style>
  <w:style w:type="character" w:styleId="972" w:customStyle="1">
    <w:name w:val="标题 1 字符"/>
    <w:link w:val="765"/>
    <w:uiPriority w:val="0"/>
    <w:qFormat/>
    <w:rPr>
      <w:rFonts w:ascii="Calibri" w:hAnsi="Calibri" w:eastAsia="宋体" w:cs="Calibri"/>
      <w:b/>
      <w:bCs/>
      <w:sz w:val="44"/>
      <w:szCs w:val="44"/>
      <w:lang w:val="en-US" w:eastAsia="zh-CN"/>
    </w:rPr>
  </w:style>
  <w:style w:type="character" w:styleId="973" w:customStyle="1">
    <w:name w:val="标题 2 字符"/>
    <w:link w:val="766"/>
    <w:uiPriority w:val="99"/>
    <w:qFormat/>
    <w:rPr>
      <w:rFonts w:ascii="Arial" w:hAnsi="Arial" w:eastAsia="幼圆" w:cs="Arial"/>
      <w:b/>
      <w:bCs/>
      <w:sz w:val="44"/>
      <w:szCs w:val="44"/>
    </w:rPr>
  </w:style>
  <w:style w:type="character" w:styleId="974" w:customStyle="1">
    <w:name w:val="正文缩进 字符"/>
    <w:link w:val="778"/>
    <w:uiPriority w:val="0"/>
    <w:qFormat/>
    <w:rPr>
      <w:rFonts w:cs="Calibri"/>
      <w:sz w:val="21"/>
      <w:szCs w:val="21"/>
    </w:rPr>
  </w:style>
  <w:style w:type="character" w:styleId="975" w:customStyle="1">
    <w:name w:val="标题 4 字符"/>
    <w:basedOn w:val="774"/>
    <w:link w:val="768"/>
    <w:uiPriority w:val="0"/>
    <w:qFormat/>
    <w:rPr>
      <w:rFonts w:ascii="Arial" w:hAnsi="Arial" w:eastAsia="黑体"/>
      <w:b/>
      <w:sz w:val="32"/>
    </w:rPr>
  </w:style>
  <w:style w:type="character" w:styleId="976" w:customStyle="1">
    <w:name w:val="标题 5 字符"/>
    <w:basedOn w:val="774"/>
    <w:link w:val="769"/>
    <w:uiPriority w:val="9"/>
    <w:qFormat/>
    <w:rPr>
      <w:rFonts w:cs="Calibri"/>
      <w:b/>
      <w:bCs/>
      <w:sz w:val="28"/>
      <w:szCs w:val="28"/>
    </w:rPr>
  </w:style>
  <w:style w:type="character" w:styleId="977" w:customStyle="1">
    <w:name w:val="标题 6 字符"/>
    <w:basedOn w:val="774"/>
    <w:link w:val="770"/>
    <w:uiPriority w:val="0"/>
    <w:qFormat/>
    <w:rPr>
      <w:rFonts w:ascii="Arial" w:hAnsi="Arial" w:eastAsia="黑体"/>
      <w:b/>
      <w:sz w:val="24"/>
    </w:rPr>
  </w:style>
  <w:style w:type="character" w:styleId="978" w:customStyle="1">
    <w:name w:val="标题 7 字符"/>
    <w:basedOn w:val="774"/>
    <w:link w:val="771"/>
    <w:uiPriority w:val="0"/>
    <w:qFormat/>
    <w:rPr>
      <w:rFonts w:ascii="Times New Roman" w:hAnsi="Times New Roman"/>
      <w:b/>
      <w:sz w:val="24"/>
    </w:rPr>
  </w:style>
  <w:style w:type="character" w:styleId="979" w:customStyle="1">
    <w:name w:val="标题 8 字符"/>
    <w:basedOn w:val="774"/>
    <w:link w:val="772"/>
    <w:uiPriority w:val="0"/>
    <w:qFormat/>
    <w:rPr>
      <w:rFonts w:ascii="Arial" w:hAnsi="Arial" w:eastAsia="黑体"/>
      <w:sz w:val="24"/>
    </w:rPr>
  </w:style>
  <w:style w:type="character" w:styleId="980" w:customStyle="1">
    <w:name w:val="标题 9 字符"/>
    <w:basedOn w:val="774"/>
    <w:link w:val="773"/>
    <w:uiPriority w:val="0"/>
    <w:qFormat/>
    <w:rPr>
      <w:rFonts w:ascii="Arial" w:hAnsi="Arial" w:eastAsia="黑体"/>
      <w:sz w:val="21"/>
    </w:rPr>
  </w:style>
  <w:style w:type="character" w:styleId="981" w:customStyle="1">
    <w:name w:val="文档结构图 字符"/>
    <w:link w:val="780"/>
    <w:uiPriority w:val="0"/>
    <w:qFormat/>
    <w:rPr>
      <w:rFonts w:ascii="宋体" w:cs="宋体"/>
      <w:sz w:val="18"/>
      <w:szCs w:val="18"/>
    </w:rPr>
  </w:style>
  <w:style w:type="character" w:styleId="982" w:customStyle="1">
    <w:name w:val="批注文字 Char"/>
    <w:basedOn w:val="774"/>
    <w:uiPriority w:val="0"/>
    <w:qFormat/>
    <w:rPr>
      <w:rFonts w:cs="Calibri"/>
      <w:sz w:val="21"/>
      <w:szCs w:val="21"/>
    </w:rPr>
  </w:style>
  <w:style w:type="character" w:styleId="983" w:customStyle="1">
    <w:name w:val="称呼 Char"/>
    <w:basedOn w:val="774"/>
    <w:uiPriority w:val="0"/>
    <w:qFormat/>
    <w:rPr>
      <w:rFonts w:cs="Calibri"/>
      <w:sz w:val="21"/>
      <w:szCs w:val="21"/>
    </w:rPr>
  </w:style>
  <w:style w:type="character" w:styleId="984" w:customStyle="1">
    <w:name w:val="正文文本 3 Char"/>
    <w:basedOn w:val="774"/>
    <w:uiPriority w:val="0"/>
    <w:qFormat/>
    <w:rPr>
      <w:rFonts w:cs="Calibri"/>
      <w:sz w:val="16"/>
      <w:szCs w:val="16"/>
    </w:rPr>
  </w:style>
  <w:style w:type="character" w:styleId="985" w:customStyle="1">
    <w:name w:val="正文文本 Char"/>
    <w:basedOn w:val="774"/>
    <w:uiPriority w:val="99"/>
    <w:qFormat/>
    <w:rPr>
      <w:rFonts w:cs="Calibri"/>
      <w:sz w:val="21"/>
      <w:szCs w:val="21"/>
    </w:rPr>
  </w:style>
  <w:style w:type="character" w:styleId="986" w:customStyle="1">
    <w:name w:val="正文文本缩进 字符"/>
    <w:link w:val="785"/>
    <w:uiPriority w:val="0"/>
    <w:qFormat/>
    <w:rPr>
      <w:sz w:val="21"/>
      <w:szCs w:val="21"/>
    </w:rPr>
  </w:style>
  <w:style w:type="character" w:styleId="987" w:customStyle="1">
    <w:name w:val="纯文本 字符"/>
    <w:link w:val="790"/>
    <w:uiPriority w:val="0"/>
    <w:qFormat/>
    <w:rPr>
      <w:rFonts w:ascii="宋体" w:hAnsi="Courier New" w:cs="宋体"/>
    </w:rPr>
  </w:style>
  <w:style w:type="character" w:styleId="988" w:customStyle="1">
    <w:name w:val="日期 字符"/>
    <w:link w:val="793"/>
    <w:uiPriority w:val="0"/>
    <w:qFormat/>
    <w:rPr>
      <w:sz w:val="21"/>
      <w:szCs w:val="21"/>
    </w:rPr>
  </w:style>
  <w:style w:type="character" w:styleId="989" w:customStyle="1">
    <w:name w:val="正文文本缩进 2 字符"/>
    <w:link w:val="794"/>
    <w:uiPriority w:val="0"/>
    <w:qFormat/>
    <w:rPr>
      <w:sz w:val="21"/>
      <w:szCs w:val="21"/>
    </w:rPr>
  </w:style>
  <w:style w:type="character" w:styleId="990" w:customStyle="1">
    <w:name w:val="尾注文本 Char"/>
    <w:basedOn w:val="774"/>
    <w:uiPriority w:val="0"/>
    <w:qFormat/>
    <w:rPr>
      <w:rFonts w:cs="Calibri"/>
      <w:sz w:val="21"/>
      <w:szCs w:val="21"/>
    </w:rPr>
  </w:style>
  <w:style w:type="character" w:styleId="991" w:customStyle="1">
    <w:name w:val="批注框文本 字符"/>
    <w:link w:val="796"/>
    <w:uiPriority w:val="0"/>
    <w:qFormat/>
    <w:rPr>
      <w:sz w:val="18"/>
      <w:szCs w:val="18"/>
    </w:rPr>
  </w:style>
  <w:style w:type="character" w:styleId="992" w:customStyle="1">
    <w:name w:val="页脚 字符"/>
    <w:link w:val="797"/>
    <w:uiPriority w:val="99"/>
    <w:qFormat/>
    <w:rPr>
      <w:sz w:val="18"/>
      <w:szCs w:val="18"/>
    </w:rPr>
  </w:style>
  <w:style w:type="character" w:styleId="993" w:customStyle="1">
    <w:name w:val="页眉 字符"/>
    <w:link w:val="798"/>
    <w:uiPriority w:val="99"/>
    <w:qFormat/>
    <w:rPr>
      <w:sz w:val="18"/>
      <w:szCs w:val="18"/>
    </w:rPr>
  </w:style>
  <w:style w:type="character" w:styleId="994" w:customStyle="1">
    <w:name w:val="副标题 字符"/>
    <w:basedOn w:val="774"/>
    <w:link w:val="801"/>
    <w:uiPriority w:val="0"/>
    <w:qFormat/>
    <w:rPr>
      <w:rFonts w:ascii="Cambria" w:hAnsi="Cambria"/>
      <w:sz w:val="24"/>
      <w:szCs w:val="24"/>
    </w:rPr>
  </w:style>
  <w:style w:type="character" w:styleId="995" w:customStyle="1">
    <w:name w:val="正文文本缩进 3 字符"/>
    <w:link w:val="804"/>
    <w:uiPriority w:val="0"/>
    <w:qFormat/>
    <w:rPr>
      <w:sz w:val="16"/>
      <w:szCs w:val="16"/>
    </w:rPr>
  </w:style>
  <w:style w:type="character" w:styleId="996" w:customStyle="1">
    <w:name w:val="正文文本 2 Char"/>
    <w:basedOn w:val="774"/>
    <w:uiPriority w:val="0"/>
    <w:qFormat/>
    <w:rPr>
      <w:rFonts w:cs="Calibri"/>
      <w:sz w:val="21"/>
      <w:szCs w:val="21"/>
    </w:rPr>
  </w:style>
  <w:style w:type="character" w:styleId="997" w:customStyle="1">
    <w:name w:val="标题 Char"/>
    <w:basedOn w:val="774"/>
    <w:uiPriority w:val="0"/>
    <w:qFormat/>
    <w:rPr>
      <w:rFonts w:ascii="Cambria" w:hAnsi="Cambria" w:cs="Times New Roman"/>
      <w:b/>
      <w:bCs/>
      <w:sz w:val="32"/>
      <w:szCs w:val="32"/>
    </w:rPr>
  </w:style>
  <w:style w:type="character" w:styleId="998" w:customStyle="1">
    <w:name w:val="批注主题 Char"/>
    <w:basedOn w:val="982"/>
    <w:uiPriority w:val="0"/>
    <w:qFormat/>
    <w:rPr>
      <w:rFonts w:cs="Calibri"/>
      <w:b/>
      <w:bCs/>
      <w:sz w:val="21"/>
      <w:szCs w:val="21"/>
    </w:rPr>
  </w:style>
  <w:style w:type="character" w:styleId="999" w:customStyle="1">
    <w:name w:val="正文首行缩进 Char"/>
    <w:basedOn w:val="985"/>
    <w:uiPriority w:val="0"/>
    <w:qFormat/>
    <w:rPr>
      <w:rFonts w:cs="Calibri"/>
      <w:sz w:val="21"/>
      <w:szCs w:val="21"/>
    </w:rPr>
  </w:style>
  <w:style w:type="character" w:styleId="1000" w:customStyle="1">
    <w:name w:val="正文首行缩进 2 Char"/>
    <w:basedOn w:val="986"/>
    <w:uiPriority w:val="0"/>
    <w:qFormat/>
    <w:rPr>
      <w:rFonts w:cs="Calibri"/>
      <w:sz w:val="21"/>
      <w:szCs w:val="21"/>
    </w:rPr>
  </w:style>
  <w:style w:type="character" w:styleId="1001" w:customStyle="1">
    <w:name w:val="批注文字 字符"/>
    <w:basedOn w:val="774"/>
    <w:link w:val="781"/>
    <w:uiPriority w:val="0"/>
    <w:qFormat/>
    <w:rPr>
      <w:rFonts w:cs="Calibri"/>
      <w:sz w:val="21"/>
      <w:szCs w:val="21"/>
    </w:rPr>
  </w:style>
  <w:style w:type="character" w:styleId="1002" w:customStyle="1">
    <w:name w:val="称呼 字符"/>
    <w:basedOn w:val="774"/>
    <w:link w:val="782"/>
    <w:uiPriority w:val="0"/>
    <w:qFormat/>
    <w:rPr>
      <w:sz w:val="21"/>
      <w:szCs w:val="24"/>
    </w:rPr>
  </w:style>
  <w:style w:type="character" w:styleId="1003" w:customStyle="1">
    <w:name w:val="正文文本 3 字符"/>
    <w:basedOn w:val="774"/>
    <w:link w:val="783"/>
    <w:uiPriority w:val="0"/>
    <w:qFormat/>
    <w:rPr>
      <w:rFonts w:ascii="宋体"/>
      <w:sz w:val="24"/>
    </w:rPr>
  </w:style>
  <w:style w:type="character" w:styleId="1004" w:customStyle="1">
    <w:name w:val="正文文本 字符"/>
    <w:basedOn w:val="774"/>
    <w:link w:val="784"/>
    <w:uiPriority w:val="99"/>
    <w:qFormat/>
    <w:rPr>
      <w:sz w:val="21"/>
    </w:rPr>
  </w:style>
  <w:style w:type="character" w:styleId="1005" w:customStyle="1">
    <w:name w:val="尾注文本 字符"/>
    <w:basedOn w:val="774"/>
    <w:link w:val="795"/>
    <w:uiPriority w:val="0"/>
    <w:qFormat/>
    <w:rPr>
      <w:rFonts w:ascii="MingLiU" w:eastAsia="MingLiU"/>
      <w:lang w:eastAsia="zh-TW"/>
    </w:rPr>
  </w:style>
  <w:style w:type="character" w:styleId="1006" w:customStyle="1">
    <w:name w:val="正文文本 2 字符"/>
    <w:basedOn w:val="774"/>
    <w:link w:val="808"/>
    <w:uiPriority w:val="0"/>
    <w:qFormat/>
    <w:rPr>
      <w:rFonts w:ascii="PMingLiU"/>
      <w:sz w:val="24"/>
    </w:rPr>
  </w:style>
  <w:style w:type="character" w:styleId="1007" w:customStyle="1">
    <w:name w:val="标题 字符"/>
    <w:basedOn w:val="774"/>
    <w:link w:val="811"/>
    <w:uiPriority w:val="0"/>
    <w:qFormat/>
    <w:rPr>
      <w:rFonts w:ascii="Arial" w:hAnsi="Arial"/>
      <w:b/>
      <w:sz w:val="32"/>
    </w:rPr>
  </w:style>
  <w:style w:type="character" w:styleId="1008" w:customStyle="1">
    <w:name w:val="批注主题 字符"/>
    <w:basedOn w:val="1001"/>
    <w:link w:val="812"/>
    <w:uiPriority w:val="0"/>
    <w:qFormat/>
    <w:rPr>
      <w:rFonts w:cs="Calibri"/>
      <w:b/>
      <w:sz w:val="21"/>
      <w:szCs w:val="21"/>
    </w:rPr>
  </w:style>
  <w:style w:type="character" w:styleId="1009" w:customStyle="1">
    <w:name w:val="正文首行缩进 字符"/>
    <w:basedOn w:val="1004"/>
    <w:link w:val="813"/>
    <w:uiPriority w:val="0"/>
    <w:qFormat/>
    <w:rPr>
      <w:sz w:val="21"/>
    </w:rPr>
  </w:style>
  <w:style w:type="character" w:styleId="1010" w:customStyle="1">
    <w:name w:val="正文首行缩进 2 字符"/>
    <w:basedOn w:val="1011"/>
    <w:link w:val="814"/>
    <w:uiPriority w:val="0"/>
    <w:qFormat/>
    <w:rPr>
      <w:rFonts w:cs="Calibri"/>
      <w:sz w:val="21"/>
      <w:szCs w:val="21"/>
    </w:rPr>
  </w:style>
  <w:style w:type="character" w:styleId="1011" w:customStyle="1">
    <w:name w:val="正文文本缩进 Char1"/>
    <w:basedOn w:val="774"/>
    <w:uiPriority w:val="99"/>
    <w:semiHidden/>
    <w:qFormat/>
    <w:rPr>
      <w:rFonts w:cs="Calibri"/>
      <w:sz w:val="21"/>
      <w:szCs w:val="21"/>
    </w:rPr>
  </w:style>
  <w:style w:type="paragraph" w:styleId="1012" w:customStyle="1">
    <w:name w:val="正文缩进1"/>
    <w:basedOn w:val="764"/>
    <w:uiPriority w:val="99"/>
    <w:qFormat/>
    <w:pPr>
      <w:ind w:firstLine="420"/>
    </w:pPr>
  </w:style>
  <w:style w:type="character" w:styleId="1013" w:customStyle="1">
    <w:name w:val="Heading 1 Char"/>
    <w:uiPriority w:val="0"/>
    <w:qFormat/>
    <w:rPr>
      <w:b/>
      <w:bCs/>
      <w:sz w:val="44"/>
      <w:szCs w:val="44"/>
    </w:rPr>
  </w:style>
  <w:style w:type="character" w:styleId="1014" w:customStyle="1">
    <w:name w:val="Body Text Indent 2 Char1"/>
    <w:uiPriority w:val="99"/>
    <w:qFormat/>
    <w:rPr>
      <w:rFonts w:ascii="仿宋_GB2312" w:eastAsia="仿宋_GB2312" w:cs="仿宋_GB2312"/>
      <w:sz w:val="24"/>
      <w:szCs w:val="24"/>
    </w:rPr>
  </w:style>
  <w:style w:type="character" w:styleId="1015" w:customStyle="1">
    <w:name w:val="Date Char1"/>
    <w:uiPriority w:val="99"/>
    <w:qFormat/>
    <w:rPr>
      <w:rFonts w:eastAsia="宋体"/>
      <w:sz w:val="24"/>
      <w:szCs w:val="24"/>
    </w:rPr>
  </w:style>
  <w:style w:type="paragraph" w:styleId="1016">
    <w:name w:val="List Paragraph"/>
    <w:basedOn w:val="764"/>
    <w:uiPriority w:val="34"/>
    <w:qFormat/>
    <w:pPr>
      <w:ind w:firstLine="420"/>
    </w:pPr>
  </w:style>
  <w:style w:type="paragraph" w:styleId="1017" w:customStyle="1">
    <w:name w:val="普通正文"/>
    <w:basedOn w:val="764"/>
    <w:uiPriority w:val="99"/>
    <w:qFormat/>
    <w:pPr>
      <w:ind w:firstLine="480"/>
      <w:jc w:val="left"/>
      <w:spacing w:before="120" w:after="120" w:line="360" w:lineRule="auto"/>
    </w:pPr>
    <w:rPr>
      <w:rFonts w:ascii="Arial" w:hAnsi="Arial" w:cs="Arial"/>
      <w:sz w:val="24"/>
      <w:szCs w:val="24"/>
    </w:rPr>
  </w:style>
  <w:style w:type="character" w:styleId="1018" w:customStyle="1">
    <w:name w:val="纯文本 Char"/>
    <w:uiPriority w:val="99"/>
    <w:qFormat/>
    <w:rPr>
      <w:rFonts w:ascii="宋体" w:hAnsi="Courier New" w:cs="宋体"/>
      <w:sz w:val="21"/>
      <w:szCs w:val="21"/>
    </w:rPr>
  </w:style>
  <w:style w:type="paragraph" w:styleId="1019" w:customStyle="1">
    <w:name w:val="p0"/>
    <w:basedOn w:val="764"/>
    <w:uiPriority w:val="0"/>
    <w:qFormat/>
    <w:pPr>
      <w:spacing w:line="312" w:lineRule="atLeast"/>
      <w:widowControl/>
    </w:pPr>
    <w:rPr>
      <w:rFonts w:cs="Times New Roman"/>
    </w:rPr>
  </w:style>
  <w:style w:type="character" w:styleId="1020" w:customStyle="1">
    <w:name w:val="日期 Char1"/>
    <w:uiPriority w:val="0"/>
    <w:qFormat/>
    <w:rPr>
      <w:rFonts w:ascii="Times New Roman" w:hAnsi="Times New Roman" w:eastAsia="宋体" w:cs="Times New Roman"/>
      <w:sz w:val="24"/>
      <w:szCs w:val="24"/>
    </w:rPr>
  </w:style>
  <w:style w:type="character" w:styleId="1021" w:customStyle="1">
    <w:name w:val="样式 首行缩进:  0 字符 Char"/>
    <w:link w:val="1022"/>
    <w:uiPriority w:val="99"/>
    <w:qFormat/>
    <w:rPr>
      <w:sz w:val="24"/>
      <w:szCs w:val="24"/>
    </w:rPr>
  </w:style>
  <w:style w:type="paragraph" w:styleId="1022" w:customStyle="1">
    <w:name w:val="样式 首行缩进:  0 字符"/>
    <w:basedOn w:val="764"/>
    <w:link w:val="1021"/>
    <w:uiPriority w:val="99"/>
    <w:qFormat/>
    <w:pPr>
      <w:ind w:firstLine="200"/>
      <w:spacing w:line="360" w:lineRule="auto"/>
    </w:pPr>
    <w:rPr>
      <w:rFonts w:cs="Times New Roman"/>
      <w:sz w:val="24"/>
      <w:szCs w:val="24"/>
    </w:rPr>
  </w:style>
  <w:style w:type="character" w:styleId="1023" w:customStyle="1">
    <w:name w:val="font21"/>
    <w:basedOn w:val="774"/>
    <w:uiPriority w:val="0"/>
    <w:qFormat/>
    <w:rPr>
      <w:rFonts w:hint="eastAsia" w:ascii="宋体" w:hAnsi="宋体" w:eastAsia="宋体" w:cs="宋体"/>
      <w:color w:val="000000"/>
      <w:sz w:val="21"/>
      <w:szCs w:val="21"/>
      <w:u w:val="none"/>
    </w:rPr>
  </w:style>
  <w:style w:type="character" w:styleId="1024" w:customStyle="1">
    <w:name w:val="正文文本 (9)_"/>
    <w:link w:val="1025"/>
    <w:uiPriority w:val="0"/>
    <w:qFormat/>
    <w:rPr>
      <w:rFonts w:ascii="宋体" w:hAnsi="宋体" w:cs="宋体"/>
      <w:sz w:val="22"/>
      <w:shd w:val="clear" w:color="auto" w:fill="ffffff"/>
    </w:rPr>
  </w:style>
  <w:style w:type="paragraph" w:styleId="1025" w:customStyle="1">
    <w:name w:val="正文文本 (9)"/>
    <w:basedOn w:val="764"/>
    <w:link w:val="1024"/>
    <w:uiPriority w:val="0"/>
    <w:qFormat/>
    <w:pPr>
      <w:spacing w:line="475" w:lineRule="exact"/>
      <w:shd w:val="clear" w:color="auto" w:fill="ffffff"/>
    </w:pPr>
    <w:rPr>
      <w:rFonts w:ascii="宋体" w:hAnsi="宋体" w:cs="Times New Roman"/>
      <w:sz w:val="22"/>
      <w:szCs w:val="20"/>
    </w:rPr>
  </w:style>
  <w:style w:type="paragraph" w:styleId="1026"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27" w:customStyle="1">
    <w:name w:val="Body Text First Indent Char"/>
    <w:uiPriority w:val="99"/>
    <w:qFormat/>
    <w:rPr>
      <w:rFonts w:eastAsia="宋体"/>
      <w:sz w:val="24"/>
      <w:lang w:val="en-US" w:eastAsia="zh-CN"/>
    </w:rPr>
  </w:style>
  <w:style w:type="character" w:styleId="1028" w:customStyle="1">
    <w:name w:val="引用 Char"/>
    <w:uiPriority w:val="0"/>
    <w:qFormat/>
    <w:rPr>
      <w:i/>
      <w:sz w:val="24"/>
      <w:szCs w:val="24"/>
    </w:rPr>
  </w:style>
  <w:style w:type="paragraph" w:styleId="1029">
    <w:name w:val="Quote"/>
    <w:basedOn w:val="764"/>
    <w:next w:val="764"/>
    <w:link w:val="1030"/>
    <w:uiPriority w:val="99"/>
    <w:semiHidden/>
    <w:unhideWhenUsed/>
    <w:qFormat/>
    <w:rPr>
      <w:rFonts w:cs="Times New Roman"/>
      <w:i/>
      <w:sz w:val="24"/>
      <w:szCs w:val="24"/>
    </w:rPr>
  </w:style>
  <w:style w:type="character" w:styleId="1030" w:customStyle="1">
    <w:name w:val="引用 字符"/>
    <w:basedOn w:val="774"/>
    <w:link w:val="1029"/>
    <w:uiPriority w:val="0"/>
    <w:qFormat/>
    <w:rPr>
      <w:i/>
      <w:sz w:val="24"/>
      <w:szCs w:val="24"/>
    </w:rPr>
  </w:style>
  <w:style w:type="character" w:styleId="1031" w:customStyle="1">
    <w:name w:val="正文首行缩进 Char1"/>
    <w:basedOn w:val="1032"/>
    <w:uiPriority w:val="0"/>
    <w:qFormat/>
    <w:rPr>
      <w:sz w:val="21"/>
    </w:rPr>
  </w:style>
  <w:style w:type="character" w:styleId="1032" w:customStyle="1">
    <w:name w:val="正文文本 Char1"/>
    <w:uiPriority w:val="0"/>
    <w:qFormat/>
    <w:rPr>
      <w:sz w:val="21"/>
    </w:rPr>
  </w:style>
  <w:style w:type="character" w:styleId="1033" w:customStyle="1">
    <w:name w:val="明显引用 Char"/>
    <w:uiPriority w:val="0"/>
    <w:qFormat/>
    <w:rPr>
      <w:b/>
      <w:i/>
      <w:sz w:val="24"/>
      <w:szCs w:val="22"/>
    </w:rPr>
  </w:style>
  <w:style w:type="paragraph" w:styleId="1034">
    <w:name w:val="Intense Quote"/>
    <w:basedOn w:val="764"/>
    <w:next w:val="764"/>
    <w:link w:val="1035"/>
    <w:uiPriority w:val="99"/>
    <w:semiHidden/>
    <w:unhideWhenUsed/>
    <w:qFormat/>
    <w:pPr>
      <w:ind w:left="720" w:right="720"/>
    </w:pPr>
    <w:rPr>
      <w:rFonts w:cs="Times New Roman"/>
      <w:b/>
      <w:i/>
      <w:sz w:val="24"/>
      <w:szCs w:val="22"/>
    </w:rPr>
  </w:style>
  <w:style w:type="character" w:styleId="1035" w:customStyle="1">
    <w:name w:val="明显引用 字符"/>
    <w:basedOn w:val="774"/>
    <w:link w:val="1034"/>
    <w:uiPriority w:val="0"/>
    <w:qFormat/>
    <w:rPr>
      <w:b/>
      <w:i/>
      <w:sz w:val="24"/>
      <w:szCs w:val="22"/>
    </w:rPr>
  </w:style>
  <w:style w:type="character" w:styleId="1036" w:customStyle="1">
    <w:name w:val="Footer Char"/>
    <w:uiPriority w:val="0"/>
    <w:qFormat/>
    <w:rPr>
      <w:rFonts w:eastAsia="宋体"/>
      <w:sz w:val="18"/>
      <w:lang w:val="en-US" w:eastAsia="zh-CN"/>
    </w:rPr>
  </w:style>
  <w:style w:type="character" w:styleId="1037" w:customStyle="1">
    <w:name w:val="正文文本 Char_0_0"/>
    <w:link w:val="1038"/>
    <w:uiPriority w:val="0"/>
    <w:qFormat/>
    <w:rPr>
      <w:rFonts w:ascii="Times New Roman" w:hAnsi="Times New Roman"/>
    </w:rPr>
  </w:style>
  <w:style w:type="paragraph" w:styleId="1038" w:customStyle="1">
    <w:name w:val="正文文本_0_0"/>
    <w:basedOn w:val="1039"/>
    <w:link w:val="1037"/>
    <w:uiPriority w:val="0"/>
    <w:qFormat/>
    <w:pPr>
      <w:ind w:left="72" w:right="30"/>
      <w:jc w:val="center"/>
      <w:spacing w:after="60" w:line="360" w:lineRule="atLeast"/>
    </w:pPr>
  </w:style>
  <w:style w:type="paragraph" w:styleId="1039" w:customStyle="1">
    <w:name w:val="正文_0_0"/>
    <w:uiPriority w:val="0"/>
    <w:qFormat/>
    <w:pPr>
      <w:widowControl w:val="off"/>
    </w:pPr>
    <w:rPr>
      <w:rFonts w:ascii="Times New Roman" w:hAnsi="Times New Roman" w:eastAsia="宋体" w:cs="Times New Roman"/>
      <w:lang w:val="en-US" w:eastAsia="zh-CN" w:bidi="ar-SA"/>
    </w:rPr>
  </w:style>
  <w:style w:type="character" w:styleId="1040" w:customStyle="1">
    <w:name w:val="Variable"/>
    <w:uiPriority w:val="0"/>
    <w:qFormat/>
    <w:rPr>
      <w:i/>
    </w:rPr>
  </w:style>
  <w:style w:type="character" w:styleId="1041" w:customStyle="1">
    <w:name w:val="正文 +西文 Char"/>
    <w:link w:val="1042"/>
    <w:uiPriority w:val="0"/>
    <w:qFormat/>
    <w:rPr>
      <w:rFonts w:ascii="宋体" w:hAnsi="宋体" w:cs="宋体"/>
      <w:sz w:val="21"/>
      <w:szCs w:val="21"/>
    </w:rPr>
  </w:style>
  <w:style w:type="paragraph" w:styleId="1042" w:customStyle="1">
    <w:name w:val="正文 +西文"/>
    <w:basedOn w:val="764"/>
    <w:link w:val="1041"/>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1043" w:customStyle="1">
    <w:name w:val="标题 4 Char_0"/>
    <w:link w:val="1044"/>
    <w:uiPriority w:val="0"/>
    <w:qFormat/>
    <w:rPr>
      <w:rFonts w:ascii="Cambria" w:hAnsi="Cambria"/>
      <w:b/>
      <w:bCs/>
      <w:sz w:val="28"/>
      <w:szCs w:val="28"/>
    </w:rPr>
  </w:style>
  <w:style w:type="paragraph" w:styleId="1044" w:customStyle="1">
    <w:name w:val="标题 4_0"/>
    <w:basedOn w:val="1039"/>
    <w:next w:val="1039"/>
    <w:link w:val="1043"/>
    <w:uiPriority w:val="0"/>
    <w:qFormat/>
    <w:pPr>
      <w:keepLines/>
      <w:keepNext/>
      <w:spacing w:before="280" w:after="290" w:line="372" w:lineRule="auto"/>
      <w:outlineLvl w:val="3"/>
    </w:pPr>
    <w:rPr>
      <w:rFonts w:ascii="Cambria" w:hAnsi="Cambria"/>
      <w:b/>
      <w:bCs/>
      <w:sz w:val="28"/>
      <w:szCs w:val="28"/>
    </w:rPr>
  </w:style>
  <w:style w:type="character" w:styleId="1045"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1046" w:customStyle="1">
    <w:name w:val="批注主题 Char1"/>
    <w:uiPriority w:val="0"/>
    <w:qFormat/>
    <w:rPr>
      <w:b/>
      <w:bCs/>
      <w:sz w:val="21"/>
    </w:rPr>
  </w:style>
  <w:style w:type="character" w:styleId="1047" w:customStyle="1">
    <w:name w:val="Char Char13"/>
    <w:uiPriority w:val="0"/>
    <w:qFormat/>
    <w:rPr>
      <w:sz w:val="21"/>
      <w:lang w:bidi="ar-SA"/>
    </w:rPr>
  </w:style>
  <w:style w:type="character" w:styleId="1048" w:customStyle="1">
    <w:name w:val="无间隔 字符"/>
    <w:link w:val="1049"/>
    <w:uiPriority w:val="99"/>
    <w:qFormat/>
    <w:rPr>
      <w:sz w:val="22"/>
      <w:szCs w:val="22"/>
      <w:lang w:val="en-US" w:eastAsia="zh-CN" w:bidi="ar-SA"/>
    </w:rPr>
  </w:style>
  <w:style w:type="paragraph" w:styleId="1049">
    <w:name w:val="No Spacing"/>
    <w:link w:val="1048"/>
    <w:uiPriority w:val="99"/>
    <w:semiHidden/>
    <w:unhideWhenUsed/>
    <w:qFormat/>
    <w:rPr>
      <w:rFonts w:ascii="Times New Roman" w:hAnsi="Times New Roman" w:eastAsia="宋体" w:cs="Times New Roman"/>
      <w:sz w:val="22"/>
      <w:szCs w:val="22"/>
      <w:lang w:val="en-US" w:eastAsia="zh-CN" w:bidi="ar-SA"/>
    </w:rPr>
  </w:style>
  <w:style w:type="character" w:styleId="1050" w:customStyle="1">
    <w:name w:val="样式 正文文本 Char"/>
    <w:link w:val="1051"/>
    <w:uiPriority w:val="0"/>
    <w:qFormat/>
    <w:rPr>
      <w:rFonts w:ascii="Arial" w:hAnsi="Arial"/>
      <w:color w:val="000000"/>
      <w:sz w:val="24"/>
    </w:rPr>
  </w:style>
  <w:style w:type="paragraph" w:styleId="1051" w:customStyle="1">
    <w:name w:val="样式 正文文本"/>
    <w:basedOn w:val="1052"/>
    <w:link w:val="1050"/>
    <w:uiPriority w:val="0"/>
    <w:qFormat/>
    <w:rPr>
      <w:color w:val="000000"/>
    </w:rPr>
  </w:style>
  <w:style w:type="paragraph" w:styleId="1052" w:customStyle="1">
    <w:name w:val="样式 正文文本 + 首行缩进:  2 字符"/>
    <w:basedOn w:val="784"/>
    <w:uiPriority w:val="0"/>
    <w:qFormat/>
    <w:pPr>
      <w:spacing w:after="0" w:line="400" w:lineRule="exact"/>
    </w:pPr>
    <w:rPr>
      <w:rFonts w:ascii="Arial" w:hAnsi="Arial"/>
      <w:sz w:val="24"/>
    </w:rPr>
  </w:style>
  <w:style w:type="character" w:styleId="1053" w:customStyle="1">
    <w:name w:val="Title Char"/>
    <w:uiPriority w:val="0"/>
    <w:qFormat/>
    <w:rPr>
      <w:rFonts w:ascii="Cambria" w:hAnsi="Cambria" w:cs="Times New Roman"/>
      <w:b/>
      <w:bCs/>
      <w:sz w:val="32"/>
      <w:szCs w:val="32"/>
    </w:rPr>
  </w:style>
  <w:style w:type="character" w:styleId="1054" w:customStyle="1">
    <w:name w:val="正文文本 Char_0"/>
    <w:link w:val="828"/>
    <w:uiPriority w:val="99"/>
    <w:qFormat/>
    <w:rPr>
      <w:rFonts w:ascii="宋体" w:eastAsia="Times New Roman"/>
      <w:sz w:val="28"/>
    </w:rPr>
  </w:style>
  <w:style w:type="character" w:styleId="1055" w:customStyle="1">
    <w:name w:val="批注文字 Char1"/>
    <w:uiPriority w:val="0"/>
    <w:qFormat/>
    <w:rPr>
      <w:sz w:val="21"/>
    </w:rPr>
  </w:style>
  <w:style w:type="character" w:styleId="1056" w:customStyle="1">
    <w:name w:val="Heading 3 Char"/>
    <w:uiPriority w:val="0"/>
    <w:qFormat/>
    <w:rPr>
      <w:rFonts w:ascii="黑体" w:hAnsi="宋体" w:eastAsia="黑体" w:cs="Times New Roman"/>
      <w:sz w:val="28"/>
      <w:lang w:val="en-US" w:eastAsia="zh-CN"/>
    </w:rPr>
  </w:style>
  <w:style w:type="character" w:styleId="1057" w:customStyle="1">
    <w:name w:val="标题 3 Char1"/>
    <w:uiPriority w:val="99"/>
    <w:qFormat/>
    <w:rPr>
      <w:rFonts w:ascii="黑体" w:hAnsi="宋体" w:eastAsia="黑体"/>
      <w:b/>
      <w:sz w:val="36"/>
    </w:rPr>
  </w:style>
  <w:style w:type="character" w:styleId="1058" w:customStyle="1">
    <w:name w:val="标题 Char_1"/>
    <w:uiPriority w:val="0"/>
    <w:qFormat/>
    <w:rPr>
      <w:rFonts w:ascii="黑体" w:hAnsi="Arial" w:eastAsia="黑体" w:cs="Arial"/>
      <w:b/>
      <w:bCs/>
      <w:sz w:val="32"/>
      <w:szCs w:val="32"/>
    </w:rPr>
  </w:style>
  <w:style w:type="character" w:styleId="1059" w:customStyle="1">
    <w:name w:val="infodetail"/>
    <w:basedOn w:val="774"/>
    <w:uiPriority w:val="0"/>
    <w:qFormat/>
  </w:style>
  <w:style w:type="character" w:styleId="1060" w:customStyle="1">
    <w:name w:val="文档结构图 Char1"/>
    <w:uiPriority w:val="0"/>
    <w:qFormat/>
    <w:rPr>
      <w:rFonts w:ascii="宋体"/>
      <w:sz w:val="18"/>
      <w:szCs w:val="18"/>
    </w:rPr>
  </w:style>
  <w:style w:type="character" w:styleId="1061" w:customStyle="1">
    <w:name w:val="Body Text Char"/>
    <w:uiPriority w:val="0"/>
    <w:qFormat/>
    <w:rPr>
      <w:rFonts w:eastAsia="宋体"/>
      <w:sz w:val="24"/>
      <w:lang w:val="en-US" w:eastAsia="zh-CN"/>
    </w:rPr>
  </w:style>
  <w:style w:type="character" w:styleId="1062" w:customStyle="1">
    <w:name w:val="正文_0 Char"/>
    <w:link w:val="1063"/>
    <w:uiPriority w:val="0"/>
    <w:qFormat/>
    <w:rPr>
      <w:sz w:val="21"/>
      <w:szCs w:val="22"/>
      <w:lang w:val="en-US" w:eastAsia="zh-CN" w:bidi="ar-SA"/>
    </w:rPr>
  </w:style>
  <w:style w:type="paragraph" w:styleId="1063" w:customStyle="1">
    <w:name w:val="正文_0"/>
    <w:link w:val="1062"/>
    <w:uiPriority w:val="0"/>
    <w:qFormat/>
    <w:pPr>
      <w:jc w:val="both"/>
      <w:widowControl w:val="off"/>
    </w:pPr>
    <w:rPr>
      <w:rFonts w:ascii="Times New Roman" w:hAnsi="Times New Roman" w:eastAsia="宋体" w:cs="Times New Roman"/>
      <w:sz w:val="21"/>
      <w:szCs w:val="22"/>
      <w:lang w:val="en-US" w:eastAsia="zh-CN" w:bidi="ar-SA"/>
    </w:rPr>
  </w:style>
  <w:style w:type="character" w:styleId="1064" w:customStyle="1">
    <w:name w:val="纯文本 Char1_0"/>
    <w:link w:val="1065"/>
    <w:uiPriority w:val="0"/>
    <w:qFormat/>
    <w:rPr>
      <w:rFonts w:ascii="宋体" w:hAnsi="Courier New"/>
      <w:szCs w:val="21"/>
    </w:rPr>
  </w:style>
  <w:style w:type="paragraph" w:styleId="1065" w:customStyle="1">
    <w:name w:val="纯文本1"/>
    <w:basedOn w:val="829"/>
    <w:link w:val="1064"/>
    <w:uiPriority w:val="0"/>
    <w:qFormat/>
    <w:pPr>
      <w:jc w:val="both"/>
      <w:widowControl w:val="off"/>
    </w:pPr>
    <w:rPr>
      <w:rFonts w:ascii="宋体" w:hAnsi="Courier New"/>
      <w:sz w:val="20"/>
      <w:szCs w:val="21"/>
    </w:rPr>
  </w:style>
  <w:style w:type="character" w:styleId="1066" w:customStyle="1">
    <w:name w:val="纯文本 Char2"/>
    <w:uiPriority w:val="0"/>
    <w:qFormat/>
    <w:rPr>
      <w:rFonts w:ascii="宋体" w:hAnsi="Courier New"/>
      <w:sz w:val="21"/>
    </w:rPr>
  </w:style>
  <w:style w:type="character" w:styleId="1067" w:customStyle="1">
    <w:name w:val="标题6 Char"/>
    <w:link w:val="1068"/>
    <w:uiPriority w:val="0"/>
    <w:qFormat/>
    <w:rPr>
      <w:rFonts w:ascii="宋体" w:hAnsi="宋体" w:eastAsia="黑体" w:cs="宋体"/>
      <w:sz w:val="32"/>
      <w:szCs w:val="32"/>
    </w:rPr>
  </w:style>
  <w:style w:type="paragraph" w:styleId="1068" w:customStyle="1">
    <w:name w:val="标题6"/>
    <w:basedOn w:val="764"/>
    <w:link w:val="1067"/>
    <w:uiPriority w:val="0"/>
    <w:qFormat/>
    <w:pPr>
      <w:jc w:val="center"/>
      <w:keepLines/>
      <w:keepNext/>
      <w:spacing w:line="400" w:lineRule="exact"/>
      <w:outlineLvl w:val="2"/>
    </w:pPr>
    <w:rPr>
      <w:rFonts w:ascii="宋体" w:hAnsi="宋体" w:eastAsia="黑体" w:cs="Times New Roman"/>
      <w:sz w:val="32"/>
      <w:szCs w:val="32"/>
    </w:rPr>
  </w:style>
  <w:style w:type="character" w:styleId="1069" w:customStyle="1">
    <w:name w:val="样式 标题 3h3section:3Level 3 HeadH3level_3PIM 33rd level3H... Char"/>
    <w:link w:val="1070"/>
    <w:uiPriority w:val="0"/>
    <w:qFormat/>
    <w:rPr>
      <w:rFonts w:ascii="Arial" w:hAnsi="Arial"/>
      <w:b/>
      <w:bCs/>
      <w:sz w:val="24"/>
      <w:szCs w:val="28"/>
    </w:rPr>
  </w:style>
  <w:style w:type="paragraph" w:styleId="1070" w:customStyle="1">
    <w:name w:val="样式 标题 3h3section:3Level 3 HeadH3level_3PIM 33rd level3H..."/>
    <w:basedOn w:val="767"/>
    <w:link w:val="1069"/>
    <w:uiPriority w:val="0"/>
    <w:qFormat/>
    <w:pPr>
      <w:ind w:left="2100" w:hanging="420"/>
      <w:spacing w:before="240" w:after="60" w:line="416" w:lineRule="atLeast"/>
      <w:tabs>
        <w:tab w:val="left" w:pos="1680" w:leader="none"/>
      </w:tabs>
    </w:pPr>
    <w:rPr>
      <w:rFonts w:ascii="Arial" w:hAnsi="Arial"/>
      <w:sz w:val="24"/>
      <w:szCs w:val="28"/>
    </w:rPr>
  </w:style>
  <w:style w:type="character" w:styleId="1071" w:customStyle="1">
    <w:name w:val="不明显参考1"/>
    <w:uiPriority w:val="0"/>
    <w:qFormat/>
    <w:rPr>
      <w:sz w:val="24"/>
      <w:szCs w:val="24"/>
      <w:u w:val="single"/>
    </w:rPr>
  </w:style>
  <w:style w:type="character" w:styleId="1072" w:customStyle="1">
    <w:name w:val="Header Char"/>
    <w:uiPriority w:val="0"/>
    <w:qFormat/>
    <w:rPr>
      <w:rFonts w:eastAsia="宋体"/>
      <w:sz w:val="18"/>
      <w:lang w:val="en-US" w:eastAsia="zh-CN"/>
    </w:rPr>
  </w:style>
  <w:style w:type="character" w:styleId="1073" w:customStyle="1">
    <w:name w:val="样式1 Char"/>
    <w:link w:val="1074"/>
    <w:uiPriority w:val="0"/>
    <w:qFormat/>
    <w:rPr>
      <w:rFonts w:ascii="宋体" w:hAnsi="宋体"/>
      <w:sz w:val="21"/>
    </w:rPr>
  </w:style>
  <w:style w:type="paragraph" w:styleId="1074" w:customStyle="1">
    <w:name w:val="样式1"/>
    <w:basedOn w:val="764"/>
    <w:next w:val="768"/>
    <w:link w:val="1073"/>
    <w:uiPriority w:val="0"/>
    <w:qFormat/>
    <w:pPr>
      <w:ind w:firstLine="420"/>
      <w:spacing w:line="360" w:lineRule="auto"/>
    </w:pPr>
    <w:rPr>
      <w:rFonts w:ascii="宋体" w:hAnsi="宋体" w:cs="Times New Roman"/>
      <w:szCs w:val="20"/>
    </w:rPr>
  </w:style>
  <w:style w:type="character" w:styleId="1075" w:customStyle="1">
    <w:name w:val="明显强调1"/>
    <w:uiPriority w:val="0"/>
    <w:qFormat/>
    <w:rPr>
      <w:b/>
      <w:i/>
      <w:sz w:val="24"/>
      <w:szCs w:val="24"/>
      <w:u w:val="single"/>
    </w:rPr>
  </w:style>
  <w:style w:type="character" w:styleId="1076" w:customStyle="1">
    <w:name w:val="Document Map Char"/>
    <w:uiPriority w:val="0"/>
    <w:qFormat/>
    <w:rPr>
      <w:rFonts w:eastAsia="宋体"/>
      <w:sz w:val="24"/>
      <w:lang w:val="en-US" w:eastAsia="zh-CN"/>
    </w:rPr>
  </w:style>
  <w:style w:type="character" w:styleId="1077" w:customStyle="1">
    <w:name w:val="Comment Subject Char"/>
    <w:uiPriority w:val="0"/>
    <w:qFormat/>
    <w:rPr>
      <w:rFonts w:eastAsia="宋体"/>
      <w:b/>
      <w:sz w:val="24"/>
      <w:lang w:val="en-US" w:eastAsia="zh-CN"/>
    </w:rPr>
  </w:style>
  <w:style w:type="character" w:styleId="1078" w:customStyle="1">
    <w:name w:val="font161"/>
    <w:uiPriority w:val="0"/>
    <w:qFormat/>
    <w:rPr>
      <w:b/>
      <w:sz w:val="32"/>
    </w:rPr>
  </w:style>
  <w:style w:type="character" w:styleId="1079" w:customStyle="1">
    <w:name w:val="不明显强调1"/>
    <w:uiPriority w:val="0"/>
    <w:qFormat/>
    <w:rPr>
      <w:i/>
      <w:color w:val="5a5a5a"/>
    </w:rPr>
  </w:style>
  <w:style w:type="character" w:styleId="1080" w:customStyle="1">
    <w:name w:val="bigfont1"/>
    <w:uiPriority w:val="0"/>
    <w:qFormat/>
    <w:rPr>
      <w:rFonts w:hint="default"/>
      <w:color w:val="000000"/>
      <w:sz w:val="24"/>
      <w:szCs w:val="24"/>
      <w:u w:val="none"/>
    </w:rPr>
  </w:style>
  <w:style w:type="character" w:styleId="1081" w:customStyle="1">
    <w:name w:val="Comment Text Char"/>
    <w:uiPriority w:val="0"/>
    <w:qFormat/>
    <w:rPr>
      <w:rFonts w:eastAsia="宋体"/>
      <w:sz w:val="24"/>
      <w:lang w:val="en-US" w:eastAsia="zh-CN"/>
    </w:rPr>
  </w:style>
  <w:style w:type="character" w:styleId="1082" w:customStyle="1">
    <w:name w:val="正文_0 + 西体 Char"/>
    <w:link w:val="1083"/>
    <w:uiPriority w:val="0"/>
    <w:qFormat/>
    <w:rPr>
      <w:rFonts w:ascii="宋体" w:hAnsi="宋体" w:cs="TimesNewRomanPSMT"/>
      <w:sz w:val="21"/>
      <w:szCs w:val="21"/>
    </w:rPr>
  </w:style>
  <w:style w:type="paragraph" w:styleId="1083" w:customStyle="1">
    <w:name w:val="正文_0 + 西体"/>
    <w:basedOn w:val="1063"/>
    <w:link w:val="1082"/>
    <w:uiPriority w:val="0"/>
    <w:qFormat/>
    <w:pPr>
      <w:spacing w:line="400" w:lineRule="exact"/>
    </w:pPr>
    <w:rPr>
      <w:rFonts w:ascii="宋体" w:hAnsi="宋体"/>
      <w:szCs w:val="21"/>
    </w:rPr>
  </w:style>
  <w:style w:type="character" w:styleId="1084" w:customStyle="1">
    <w:name w:val="Blockquote Char"/>
    <w:link w:val="1085"/>
    <w:uiPriority w:val="0"/>
    <w:qFormat/>
    <w:rPr>
      <w:sz w:val="24"/>
      <w:szCs w:val="22"/>
    </w:rPr>
  </w:style>
  <w:style w:type="paragraph" w:styleId="1085" w:customStyle="1">
    <w:name w:val="Blockquote"/>
    <w:basedOn w:val="764"/>
    <w:link w:val="1084"/>
    <w:uiPriority w:val="0"/>
    <w:qFormat/>
    <w:pPr>
      <w:ind w:left="360" w:right="360"/>
      <w:spacing w:before="100" w:after="100"/>
    </w:pPr>
    <w:rPr>
      <w:rFonts w:cs="Times New Roman"/>
      <w:sz w:val="24"/>
      <w:szCs w:val="22"/>
    </w:rPr>
  </w:style>
  <w:style w:type="character" w:styleId="1086" w:customStyle="1">
    <w:name w:val="Heading 4 Char"/>
    <w:uiPriority w:val="0"/>
    <w:qFormat/>
    <w:rPr>
      <w:rFonts w:ascii="Arial" w:hAnsi="Arial" w:eastAsia="黑体" w:cs="Times New Roman"/>
      <w:b/>
      <w:sz w:val="28"/>
      <w:lang w:val="en-US" w:eastAsia="zh-CN"/>
    </w:rPr>
  </w:style>
  <w:style w:type="character" w:styleId="1087" w:customStyle="1">
    <w:name w:val="标题 3 Char_1"/>
    <w:link w:val="1088"/>
    <w:uiPriority w:val="0"/>
    <w:qFormat/>
    <w:rPr>
      <w:rFonts w:eastAsia="Times New Roman"/>
      <w:b/>
      <w:sz w:val="32"/>
    </w:rPr>
  </w:style>
  <w:style w:type="paragraph" w:styleId="1088" w:customStyle="1">
    <w:name w:val="标题 31"/>
    <w:basedOn w:val="829"/>
    <w:next w:val="829"/>
    <w:link w:val="1087"/>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character" w:styleId="1089" w:customStyle="1">
    <w:name w:val="Blockquote Char_0"/>
    <w:link w:val="1090"/>
    <w:uiPriority w:val="0"/>
    <w:qFormat/>
    <w:rPr>
      <w:sz w:val="24"/>
    </w:rPr>
  </w:style>
  <w:style w:type="paragraph" w:styleId="1090" w:customStyle="1">
    <w:name w:val="Blockquote_0"/>
    <w:basedOn w:val="1063"/>
    <w:link w:val="1089"/>
    <w:uiPriority w:val="0"/>
    <w:qFormat/>
    <w:pPr>
      <w:ind w:left="360" w:right="360"/>
      <w:jc w:val="left"/>
      <w:spacing w:before="100" w:after="100"/>
    </w:pPr>
    <w:rPr>
      <w:sz w:val="24"/>
      <w:szCs w:val="20"/>
    </w:rPr>
  </w:style>
  <w:style w:type="character" w:styleId="1091" w:customStyle="1">
    <w:name w:val="标题 3 Char_0"/>
    <w:link w:val="1092"/>
    <w:uiPriority w:val="9"/>
    <w:qFormat/>
    <w:rPr>
      <w:b/>
      <w:bCs/>
      <w:sz w:val="32"/>
      <w:szCs w:val="32"/>
    </w:rPr>
  </w:style>
  <w:style w:type="paragraph" w:styleId="1092" w:customStyle="1">
    <w:name w:val="标题 3_0"/>
    <w:basedOn w:val="1039"/>
    <w:next w:val="1039"/>
    <w:link w:val="1091"/>
    <w:uiPriority w:val="9"/>
    <w:qFormat/>
    <w:pPr>
      <w:keepLines/>
      <w:keepNext/>
      <w:spacing w:before="260" w:after="260" w:line="413" w:lineRule="auto"/>
      <w:outlineLvl w:val="2"/>
    </w:pPr>
    <w:rPr>
      <w:rFonts w:ascii="Calibri" w:hAnsi="Calibri"/>
      <w:b/>
      <w:bCs/>
      <w:sz w:val="32"/>
      <w:szCs w:val="32"/>
    </w:rPr>
  </w:style>
  <w:style w:type="character" w:styleId="1093" w:customStyle="1">
    <w:name w:val="标题 Char_0"/>
    <w:link w:val="1094"/>
    <w:uiPriority w:val="0"/>
    <w:qFormat/>
    <w:rPr>
      <w:rFonts w:ascii="黑体" w:hAnsi="Arial" w:eastAsia="黑体" w:cs="Arial"/>
      <w:b/>
      <w:bCs/>
      <w:sz w:val="32"/>
      <w:szCs w:val="32"/>
    </w:rPr>
  </w:style>
  <w:style w:type="paragraph" w:styleId="1094" w:customStyle="1">
    <w:name w:val="标题_0"/>
    <w:basedOn w:val="1095"/>
    <w:link w:val="1093"/>
    <w:uiPriority w:val="0"/>
    <w:qFormat/>
    <w:rPr>
      <w:rFonts w:ascii="黑体" w:hAnsi="Arial" w:eastAsia="黑体"/>
      <w:b/>
      <w:bCs/>
      <w:sz w:val="32"/>
      <w:szCs w:val="32"/>
    </w:rPr>
  </w:style>
  <w:style w:type="paragraph" w:styleId="1095" w:customStyle="1">
    <w:name w:val="正文_1"/>
    <w:uiPriority w:val="99"/>
    <w:qFormat/>
    <w:rPr>
      <w:rFonts w:ascii="Times New Roman" w:hAnsi="Times New Roman" w:eastAsia="宋体" w:cs="Times New Roman"/>
      <w:lang w:val="en-US" w:eastAsia="zh-CN" w:bidi="ar-SA"/>
    </w:rPr>
  </w:style>
  <w:style w:type="character" w:styleId="1096" w:customStyle="1">
    <w:name w:val="Heading 2 Char"/>
    <w:uiPriority w:val="0"/>
    <w:qFormat/>
    <w:rPr>
      <w:rFonts w:ascii="Arial" w:hAnsi="Arial" w:eastAsia="黑体" w:cs="Times New Roman"/>
      <w:b/>
      <w:sz w:val="32"/>
      <w:lang w:val="en-US" w:eastAsia="zh-CN"/>
    </w:rPr>
  </w:style>
  <w:style w:type="character" w:styleId="1097" w:customStyle="1">
    <w:name w:val="明显参考1"/>
    <w:uiPriority w:val="0"/>
    <w:qFormat/>
    <w:rPr>
      <w:b/>
      <w:sz w:val="24"/>
      <w:u w:val="single"/>
    </w:rPr>
  </w:style>
  <w:style w:type="character" w:styleId="1098" w:customStyle="1">
    <w:name w:val="书籍标题1"/>
    <w:uiPriority w:val="0"/>
    <w:qFormat/>
    <w:rPr>
      <w:rFonts w:ascii="Cambria" w:hAnsi="Cambria" w:eastAsia="宋体"/>
      <w:b/>
      <w:i/>
      <w:sz w:val="24"/>
      <w:szCs w:val="24"/>
    </w:rPr>
  </w:style>
  <w:style w:type="paragraph" w:styleId="1099" w:customStyle="1">
    <w:name w:val="Heading 41"/>
    <w:basedOn w:val="764"/>
    <w:uiPriority w:val="99"/>
    <w:qFormat/>
    <w:pPr>
      <w:jc w:val="left"/>
      <w:outlineLvl w:val="4"/>
    </w:pPr>
    <w:rPr>
      <w:rFonts w:ascii="宋体" w:hAnsi="宋体" w:cs="宋体"/>
      <w:sz w:val="32"/>
      <w:szCs w:val="32"/>
      <w:lang w:eastAsia="en-US"/>
    </w:rPr>
  </w:style>
  <w:style w:type="paragraph" w:styleId="1100" w:customStyle="1">
    <w:name w:val="Revision1"/>
    <w:uiPriority w:val="0"/>
    <w:qFormat/>
    <w:rPr>
      <w:rFonts w:ascii="Times New Roman" w:hAnsi="Times New Roman" w:eastAsia="宋体" w:cs="Times New Roman"/>
      <w:sz w:val="21"/>
      <w:szCs w:val="24"/>
      <w:lang w:val="en-US" w:eastAsia="zh-CN" w:bidi="ar-SA"/>
    </w:rPr>
  </w:style>
  <w:style w:type="paragraph" w:styleId="1101" w:customStyle="1">
    <w:name w:val="tx8179tqrtx8309faauto lo"/>
    <w:uiPriority w:val="99"/>
    <w:qFormat/>
    <w:pPr>
      <w:ind w:right="850"/>
      <w:widowControl w:val="off"/>
    </w:pPr>
    <w:rPr>
      <w:rFonts w:ascii="MingLiU" w:hAnsi="Times New Roman" w:eastAsia="MingLiU" w:cs="Times New Roman"/>
      <w:lang w:val="en-US" w:eastAsia="zh-TW" w:bidi="ar-SA"/>
    </w:rPr>
  </w:style>
  <w:style w:type="paragraph" w:styleId="1102" w:customStyle="1">
    <w:name w:val="样式 标题 1 + 四号 居中 段前: 12 磅 段后: 12 磅 行距: 单倍行距"/>
    <w:basedOn w:val="765"/>
    <w:uiPriority w:val="0"/>
    <w:qFormat/>
    <w:pPr>
      <w:ind w:left="360" w:hanging="360"/>
      <w:jc w:val="center"/>
      <w:spacing w:before="240" w:after="240" w:line="240" w:lineRule="auto"/>
      <w:tabs>
        <w:tab w:val="left" w:pos="360" w:leader="none"/>
      </w:tabs>
    </w:pPr>
    <w:rPr>
      <w:rFonts w:cs="Century"/>
      <w:sz w:val="28"/>
      <w:szCs w:val="20"/>
    </w:rPr>
  </w:style>
  <w:style w:type="paragraph" w:styleId="1103" w:customStyle="1">
    <w:name w:val="zhang"/>
    <w:basedOn w:val="764"/>
    <w:uiPriority w:val="0"/>
    <w:qFormat/>
    <w:pPr>
      <w:jc w:val="left"/>
      <w:widowControl/>
    </w:pPr>
    <w:rPr>
      <w:rFonts w:ascii="宋体" w:hAnsi="宋体" w:cs="宋体"/>
      <w:b/>
      <w:bCs/>
      <w:smallCaps/>
      <w:color w:val="000000"/>
      <w:sz w:val="20"/>
      <w:szCs w:val="20"/>
    </w:rPr>
  </w:style>
  <w:style w:type="paragraph" w:styleId="1104" w:customStyle="1">
    <w:name w:val="Table Paragraph"/>
    <w:basedOn w:val="764"/>
    <w:uiPriority w:val="99"/>
    <w:qFormat/>
    <w:pPr>
      <w:jc w:val="left"/>
    </w:pPr>
    <w:rPr>
      <w:sz w:val="22"/>
      <w:szCs w:val="22"/>
      <w:lang w:eastAsia="en-US"/>
    </w:rPr>
  </w:style>
  <w:style w:type="paragraph" w:styleId="1105" w:customStyle="1">
    <w:name w:val="修订11"/>
    <w:uiPriority w:val="0"/>
    <w:qFormat/>
    <w:rPr>
      <w:rFonts w:ascii="Times New Roman" w:hAnsi="Times New Roman" w:eastAsia="宋体" w:cs="Times New Roman"/>
      <w:sz w:val="21"/>
      <w:lang w:val="en-US" w:eastAsia="zh-CN" w:bidi="ar-SA"/>
    </w:rPr>
  </w:style>
  <w:style w:type="paragraph" w:styleId="1106" w:customStyle="1">
    <w:name w:val="样式 标题 1 + 黑体 三号 非加粗 居中 段前: 6 磅 段后: 6 磅 行距: 固定值 20 磅"/>
    <w:basedOn w:val="765"/>
    <w:uiPriority w:val="0"/>
    <w:qFormat/>
    <w:pPr>
      <w:jc w:val="center"/>
      <w:spacing w:before="120" w:after="120" w:line="400" w:lineRule="exact"/>
    </w:pPr>
    <w:rPr>
      <w:rFonts w:ascii="黑体" w:hAnsi="黑体" w:eastAsia="黑体"/>
      <w:b w:val="0"/>
      <w:bCs w:val="0"/>
      <w:sz w:val="32"/>
      <w:szCs w:val="20"/>
    </w:rPr>
  </w:style>
  <w:style w:type="paragraph" w:styleId="1107" w:customStyle="1">
    <w:name w:val="Normal_4"/>
    <w:uiPriority w:val="0"/>
    <w:qFormat/>
    <w:rPr>
      <w:rFonts w:ascii="Times New Roman" w:hAnsi="Times New Roman" w:eastAsia="Times New Roman" w:cs="Times New Roman"/>
      <w:sz w:val="24"/>
      <w:szCs w:val="24"/>
      <w:lang w:val="en-US" w:eastAsia="zh-CN" w:bidi="ar-SA"/>
    </w:rPr>
  </w:style>
  <w:style w:type="paragraph" w:styleId="1108" w:customStyle="1">
    <w:name w:val="Normal_2"/>
    <w:uiPriority w:val="99"/>
    <w:qFormat/>
    <w:rPr>
      <w:rFonts w:ascii="Times New Roman" w:hAnsi="Times New Roman" w:eastAsia="Times New Roman" w:cs="Times New Roman"/>
      <w:sz w:val="24"/>
      <w:szCs w:val="24"/>
      <w:lang w:val="en-US" w:eastAsia="zh-CN" w:bidi="ar-SA"/>
    </w:rPr>
  </w:style>
  <w:style w:type="paragraph" w:styleId="1109" w:customStyle="1">
    <w:name w:val="列出段落1"/>
    <w:basedOn w:val="764"/>
    <w:uiPriority w:val="0"/>
    <w:qFormat/>
    <w:pPr>
      <w:ind w:firstLine="420"/>
    </w:pPr>
    <w:rPr>
      <w:rFonts w:cs="Times New Roman"/>
      <w:szCs w:val="22"/>
    </w:rPr>
  </w:style>
  <w:style w:type="paragraph" w:styleId="1110" w:customStyle="1">
    <w:name w:val="样式 标题 2 + Times New Roman 四号 非加粗 段前: 5 磅 段后: 0 磅 行距: 固定值 20..."/>
    <w:basedOn w:val="766"/>
    <w:uiPriority w:val="0"/>
    <w:qFormat/>
    <w:pPr>
      <w:spacing w:before="100" w:after="0" w:line="400" w:lineRule="exact"/>
    </w:pPr>
    <w:rPr>
      <w:rFonts w:ascii="Times New Roman" w:hAnsi="Times New Roman" w:eastAsia="黑体"/>
      <w:b w:val="0"/>
      <w:bCs w:val="0"/>
      <w:sz w:val="28"/>
      <w:szCs w:val="20"/>
    </w:rPr>
  </w:style>
  <w:style w:type="paragraph" w:styleId="1111" w:customStyle="1">
    <w:name w:val="Address"/>
    <w:basedOn w:val="764"/>
    <w:next w:val="764"/>
    <w:uiPriority w:val="99"/>
    <w:qFormat/>
    <w:rPr>
      <w:rFonts w:cs="Times New Roman"/>
      <w:i/>
      <w:sz w:val="24"/>
      <w:szCs w:val="22"/>
    </w:rPr>
  </w:style>
  <w:style w:type="paragraph" w:styleId="1112" w:customStyle="1">
    <w:name w:val="Normal_5"/>
    <w:uiPriority w:val="0"/>
    <w:qFormat/>
    <w:rPr>
      <w:rFonts w:ascii="Times New Roman" w:hAnsi="Times New Roman" w:eastAsia="Times New Roman" w:cs="Times New Roman"/>
      <w:sz w:val="24"/>
      <w:szCs w:val="24"/>
      <w:lang w:val="en-US" w:eastAsia="zh-CN" w:bidi="ar-SA"/>
    </w:rPr>
  </w:style>
  <w:style w:type="paragraph" w:styleId="1113" w:customStyle="1">
    <w:name w:val="6'"/>
    <w:basedOn w:val="764"/>
    <w:uiPriority w:val="0"/>
    <w:qFormat/>
    <w:pPr>
      <w:jc w:val="center"/>
      <w:spacing w:line="320" w:lineRule="exact"/>
    </w:pPr>
    <w:rPr>
      <w:rFonts w:cs="Times New Roman"/>
      <w:spacing w:val="20"/>
      <w:szCs w:val="20"/>
    </w:rPr>
  </w:style>
  <w:style w:type="paragraph" w:styleId="1114" w:customStyle="1">
    <w:name w:val="Char Char Char Char Char Char Char Char Char Char"/>
    <w:basedOn w:val="764"/>
    <w:uiPriority w:val="0"/>
    <w:qFormat/>
    <w:rPr>
      <w:rFonts w:cs="Times New Roman"/>
    </w:rPr>
  </w:style>
  <w:style w:type="paragraph" w:styleId="1115" w:customStyle="1">
    <w:name w:val="1"/>
    <w:basedOn w:val="764"/>
    <w:uiPriority w:val="0"/>
    <w:qFormat/>
    <w:rPr>
      <w:rFonts w:cs="Times New Roman"/>
      <w:szCs w:val="20"/>
    </w:rPr>
  </w:style>
  <w:style w:type="paragraph" w:styleId="1116" w:customStyle="1">
    <w:name w:val="Char Char Char Char"/>
    <w:basedOn w:val="764"/>
    <w:uiPriority w:val="0"/>
    <w:qFormat/>
    <w:rPr>
      <w:rFonts w:ascii="Tahoma" w:hAnsi="Tahoma" w:eastAsia="仿宋_GB2312" w:cs="Times New Roman"/>
      <w:b/>
      <w:sz w:val="24"/>
      <w:szCs w:val="20"/>
    </w:rPr>
  </w:style>
  <w:style w:type="paragraph" w:styleId="1117" w:customStyle="1">
    <w:name w:val="样式 标题 3 + (中文) 黑体 小四 非加粗 段前: 7.8 磅 段后: 0 磅 行距: 固定值 20 磅"/>
    <w:basedOn w:val="767"/>
    <w:uiPriority w:val="0"/>
    <w:qFormat/>
    <w:pPr>
      <w:ind w:firstLine="137"/>
      <w:jc w:val="center"/>
      <w:spacing w:before="0" w:after="0" w:line="400" w:lineRule="exact"/>
    </w:pPr>
    <w:rPr>
      <w:rFonts w:ascii="黑体" w:hAnsi="宋体" w:eastAsia="黑体"/>
      <w:bCs w:val="0"/>
      <w:sz w:val="24"/>
      <w:szCs w:val="20"/>
    </w:rPr>
  </w:style>
  <w:style w:type="paragraph" w:styleId="1118" w:customStyle="1">
    <w:name w:val="题1.1"/>
    <w:basedOn w:val="764"/>
    <w:uiPriority w:val="0"/>
    <w:qFormat/>
    <w:pPr>
      <w:ind w:left="454" w:firstLine="454"/>
      <w:spacing w:after="60"/>
    </w:pPr>
    <w:rPr>
      <w:rFonts w:ascii="楷体_GB2312" w:eastAsia="楷体_GB2312" w:cs="Times New Roman"/>
      <w:spacing w:val="15"/>
      <w:szCs w:val="20"/>
    </w:rPr>
  </w:style>
  <w:style w:type="paragraph" w:styleId="1119" w:customStyle="1">
    <w:name w:val="expndtw5lochaf16hichaf0d"/>
    <w:uiPriority w:val="0"/>
    <w:qFormat/>
    <w:pPr>
      <w:jc w:val="center"/>
      <w:keepLines/>
      <w:keepNext/>
      <w:spacing w:before="260" w:after="260" w:line="416" w:lineRule="atLeast"/>
      <w:widowControl w:val="off"/>
    </w:pPr>
    <w:rPr>
      <w:rFonts w:ascii="宋体" w:hAnsi="Times New Roman" w:eastAsia="宋体" w:cs="Times New Roman"/>
      <w:b/>
      <w:spacing w:val="5"/>
      <w:sz w:val="32"/>
      <w:lang w:val="en-US" w:eastAsia="zh-CN" w:bidi="ar-SA"/>
    </w:rPr>
  </w:style>
  <w:style w:type="paragraph" w:styleId="1120" w:customStyle="1">
    <w:name w:val="blockquote"/>
    <w:basedOn w:val="764"/>
    <w:uiPriority w:val="0"/>
    <w:qFormat/>
    <w:pPr>
      <w:spacing w:before="100" w:beforeAutospacing="1" w:after="100" w:afterAutospacing="1"/>
    </w:pPr>
    <w:rPr>
      <w:rFonts w:ascii="宋体" w:hAnsi="宋体" w:cs="Times New Roman"/>
      <w:sz w:val="24"/>
      <w:szCs w:val="24"/>
    </w:rPr>
  </w:style>
  <w:style w:type="paragraph" w:styleId="1121" w:customStyle="1">
    <w:name w:val="Char1"/>
    <w:basedOn w:val="764"/>
    <w:uiPriority w:val="0"/>
    <w:qFormat/>
    <w:pPr>
      <w:tabs>
        <w:tab w:val="left" w:pos="360" w:leader="none"/>
      </w:tabs>
    </w:pPr>
    <w:rPr>
      <w:rFonts w:cs="Times New Roman"/>
      <w:sz w:val="24"/>
      <w:szCs w:val="20"/>
    </w:rPr>
  </w:style>
  <w:style w:type="paragraph" w:styleId="1122" w:customStyle="1">
    <w:name w:val="Listing1"/>
    <w:basedOn w:val="764"/>
    <w:uiPriority w:val="0"/>
    <w:qFormat/>
    <w:pPr>
      <w:ind w:left="1185" w:hanging="645"/>
      <w:tabs>
        <w:tab w:val="left" w:pos="1185" w:leader="none"/>
      </w:tabs>
    </w:pPr>
    <w:rPr>
      <w:rFonts w:cs="Times New Roman"/>
      <w:sz w:val="24"/>
      <w:szCs w:val="24"/>
    </w:rPr>
  </w:style>
  <w:style w:type="paragraph" w:styleId="1123" w:customStyle="1">
    <w:name w:val="题1"/>
    <w:basedOn w:val="764"/>
    <w:uiPriority w:val="0"/>
    <w:qFormat/>
    <w:pPr>
      <w:ind w:firstLine="510"/>
      <w:spacing w:after="60"/>
    </w:pPr>
    <w:rPr>
      <w:rFonts w:ascii="楷体_GB2312" w:eastAsia="楷体_GB2312" w:cs="Times New Roman"/>
      <w:b/>
      <w:spacing w:val="15"/>
      <w:szCs w:val="20"/>
    </w:rPr>
  </w:style>
  <w:style w:type="paragraph" w:styleId="1124" w:customStyle="1">
    <w:name w:val="Normal_1"/>
    <w:uiPriority w:val="99"/>
    <w:qFormat/>
    <w:rPr>
      <w:rFonts w:ascii="Times New Roman" w:hAnsi="Times New Roman" w:eastAsia="Times New Roman" w:cs="Times New Roman"/>
      <w:sz w:val="24"/>
      <w:szCs w:val="24"/>
      <w:lang w:val="en-US" w:eastAsia="zh-CN" w:bidi="ar-SA"/>
    </w:rPr>
  </w:style>
  <w:style w:type="paragraph" w:styleId="1125" w:customStyle="1">
    <w:name w:val="编号2"/>
    <w:uiPriority w:val="0"/>
    <w:qFormat/>
    <w:pPr>
      <w:ind w:left="1860" w:hanging="420"/>
      <w:jc w:val="both"/>
      <w:keepLines/>
      <w:spacing w:line="360" w:lineRule="exact"/>
      <w:tabs>
        <w:tab w:val="left" w:pos="1864" w:leader="none"/>
      </w:tabs>
    </w:pPr>
    <w:rPr>
      <w:rFonts w:ascii="Times New Roman" w:hAnsi="Times New Roman" w:eastAsia="宋体" w:cs="宋体"/>
      <w:spacing w:val="30"/>
      <w:sz w:val="24"/>
      <w:lang w:val="en-GB" w:eastAsia="zh-CN" w:bidi="ar-SA"/>
    </w:rPr>
  </w:style>
  <w:style w:type="paragraph" w:styleId="1126" w:customStyle="1">
    <w:name w:val="正文21"/>
    <w:uiPriority w:val="99"/>
    <w:qFormat/>
    <w:rPr>
      <w:rFonts w:ascii="Times New Roman" w:hAnsi="Times New Roman" w:eastAsia="宋体" w:cs="Times New Roman"/>
      <w:lang w:val="en-US" w:eastAsia="zh-CN" w:bidi="ar-SA"/>
    </w:rPr>
  </w:style>
  <w:style w:type="paragraph" w:styleId="1127" w:customStyle="1">
    <w:name w:val="内文正文"/>
    <w:uiPriority w:val="0"/>
    <w:qFormat/>
    <w:pPr>
      <w:ind w:firstLine="200"/>
      <w:jc w:val="both"/>
      <w:spacing w:line="400" w:lineRule="exact"/>
    </w:pPr>
    <w:rPr>
      <w:rFonts w:ascii="宋体" w:hAnsi="???|CS?o｡ﾀ?" w:eastAsia="宋体" w:cs="Times New Roman"/>
      <w:sz w:val="21"/>
      <w:lang w:val="en-US" w:eastAsia="zh-CN" w:bidi="ar-SA"/>
    </w:rPr>
  </w:style>
  <w:style w:type="paragraph" w:styleId="1128" w:customStyle="1">
    <w:name w:val="样式8"/>
    <w:basedOn w:val="764"/>
    <w:uiPriority w:val="0"/>
    <w:qFormat/>
    <w:pPr>
      <w:jc w:val="center"/>
      <w:keepLines/>
      <w:keepNext/>
      <w:spacing w:before="260" w:after="260"/>
      <w:outlineLvl w:val="1"/>
    </w:pPr>
    <w:rPr>
      <w:rFonts w:ascii="Arial" w:hAnsi="Arial" w:eastAsia="黑体" w:cs="Times New Roman"/>
      <w:b/>
      <w:bCs/>
      <w:sz w:val="72"/>
      <w:szCs w:val="32"/>
    </w:rPr>
  </w:style>
  <w:style w:type="paragraph" w:styleId="1129" w:customStyle="1">
    <w:name w:val="标题1"/>
    <w:basedOn w:val="829"/>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130" w:customStyle="1">
    <w:name w:val="编号1"/>
    <w:uiPriority w:val="0"/>
    <w:qFormat/>
    <w:pPr>
      <w:jc w:val="both"/>
      <w:keepLines/>
      <w:spacing w:line="360" w:lineRule="exact"/>
    </w:pPr>
    <w:rPr>
      <w:rFonts w:ascii="Times New Roman" w:hAnsi="Times New Roman" w:eastAsia="宋体" w:cs="Times New Roman"/>
      <w:spacing w:val="30"/>
      <w:sz w:val="24"/>
      <w:szCs w:val="24"/>
      <w:lang w:val="en-GB" w:eastAsia="zh-CN" w:bidi="ar-SA"/>
    </w:rPr>
  </w:style>
  <w:style w:type="paragraph" w:styleId="1131" w:customStyle="1">
    <w:name w:val="正文缩进_1"/>
    <w:basedOn w:val="1132"/>
    <w:uiPriority w:val="0"/>
    <w:qFormat/>
    <w:pPr>
      <w:ind w:firstLine="420"/>
      <w:jc w:val="both"/>
      <w:widowControl w:val="off"/>
    </w:pPr>
    <w:rPr>
      <w:sz w:val="21"/>
      <w:u w:val="single"/>
    </w:rPr>
  </w:style>
  <w:style w:type="paragraph" w:styleId="1132" w:customStyle="1">
    <w:name w:val="正文_2"/>
    <w:uiPriority w:val="0"/>
    <w:qFormat/>
    <w:rPr>
      <w:rFonts w:ascii="Times New Roman" w:hAnsi="Times New Roman" w:eastAsia="宋体" w:cs="Times New Roman"/>
      <w:lang w:val="en-US" w:eastAsia="zh-CN" w:bidi="ar-SA"/>
    </w:rPr>
  </w:style>
  <w:style w:type="paragraph" w:styleId="1133" w:customStyle="1">
    <w:name w:val="样式2"/>
    <w:basedOn w:val="767"/>
    <w:uiPriority w:val="0"/>
    <w:qFormat/>
    <w:pPr>
      <w:ind w:firstLine="137"/>
      <w:jc w:val="center"/>
      <w:spacing w:line="413" w:lineRule="auto"/>
    </w:pPr>
    <w:rPr>
      <w:rFonts w:ascii="黑体" w:hAnsi="宋体" w:eastAsia="黑体"/>
      <w:bCs w:val="0"/>
      <w:i/>
      <w:sz w:val="36"/>
      <w:szCs w:val="20"/>
    </w:rPr>
  </w:style>
  <w:style w:type="paragraph" w:styleId="1134" w:customStyle="1">
    <w:name w:val="Char"/>
    <w:basedOn w:val="764"/>
    <w:uiPriority w:val="0"/>
    <w:qFormat/>
    <w:pPr>
      <w:ind w:left="780" w:hanging="360"/>
      <w:tabs>
        <w:tab w:val="left" w:pos="360" w:leader="none"/>
      </w:tabs>
    </w:pPr>
    <w:rPr>
      <w:rFonts w:cs="Times New Roman"/>
      <w:sz w:val="24"/>
      <w:szCs w:val="24"/>
    </w:rPr>
  </w:style>
  <w:style w:type="paragraph" w:styleId="1135" w:customStyle="1">
    <w:name w:val="正文3"/>
    <w:uiPriority w:val="0"/>
    <w:qFormat/>
    <w:pPr>
      <w:jc w:val="both"/>
      <w:widowControl w:val="off"/>
    </w:pPr>
    <w:rPr>
      <w:rFonts w:ascii="Times New Roman" w:hAnsi="Times New Roman" w:eastAsia="宋体" w:cs="Times New Roman"/>
      <w:lang w:val="en-US" w:eastAsia="zh-CN" w:bidi="ar-SA"/>
    </w:rPr>
  </w:style>
  <w:style w:type="paragraph" w:styleId="1136" w:customStyle="1">
    <w:name w:val="TOC 标题11"/>
    <w:basedOn w:val="765"/>
    <w:next w:val="764"/>
    <w:uiPriority w:val="0"/>
    <w:qFormat/>
    <w:pPr>
      <w:jc w:val="left"/>
      <w:spacing w:before="480" w:after="0" w:line="276" w:lineRule="auto"/>
      <w:widowControl/>
      <w:outlineLvl w:val="9"/>
    </w:pPr>
    <w:rPr>
      <w:rFonts w:ascii="Cambria" w:hAnsi="Cambria"/>
      <w:color w:val="365f91"/>
      <w:sz w:val="28"/>
      <w:szCs w:val="28"/>
    </w:rPr>
  </w:style>
  <w:style w:type="paragraph" w:styleId="1137" w:customStyle="1">
    <w:name w:val="CM95"/>
    <w:basedOn w:val="764"/>
    <w:next w:val="764"/>
    <w:uiPriority w:val="0"/>
    <w:qFormat/>
    <w:pPr>
      <w:jc w:val="left"/>
      <w:spacing w:after="115"/>
    </w:pPr>
    <w:rPr>
      <w:rFonts w:ascii="宋体" w:cs="Times New Roman"/>
      <w:sz w:val="24"/>
      <w:szCs w:val="20"/>
    </w:rPr>
  </w:style>
  <w:style w:type="paragraph" w:styleId="1138" w:customStyle="1">
    <w:name w:val="正文_0_1"/>
    <w:uiPriority w:val="0"/>
    <w:qFormat/>
    <w:pPr>
      <w:widowControl w:val="off"/>
    </w:pPr>
    <w:rPr>
      <w:rFonts w:ascii="Times New Roman" w:hAnsi="Times New Roman" w:eastAsia="宋体" w:cs="Times New Roman"/>
      <w:lang w:val="en-US" w:eastAsia="zh-CN" w:bidi="ar-SA"/>
    </w:rPr>
  </w:style>
  <w:style w:type="paragraph" w:styleId="1139" w:customStyle="1">
    <w:name w:val="题1.1.1"/>
    <w:basedOn w:val="764"/>
    <w:uiPriority w:val="0"/>
    <w:qFormat/>
    <w:pPr>
      <w:ind w:left="964" w:firstLine="454"/>
    </w:pPr>
    <w:rPr>
      <w:rFonts w:ascii="楷体_GB2312" w:eastAsia="楷体_GB2312" w:cs="Times New Roman"/>
      <w:spacing w:val="5"/>
      <w:szCs w:val="20"/>
    </w:rPr>
  </w:style>
  <w:style w:type="paragraph" w:styleId="1140" w:customStyle="1">
    <w:name w:val="Normal_14"/>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141" w:customStyle="1">
    <w:name w:val="正文缩进_0"/>
    <w:basedOn w:val="1095"/>
    <w:uiPriority w:val="0"/>
    <w:qFormat/>
    <w:pPr>
      <w:ind w:firstLine="420"/>
      <w:jc w:val="both"/>
      <w:widowControl w:val="off"/>
    </w:pPr>
    <w:rPr>
      <w:sz w:val="21"/>
      <w:u w:val="single"/>
    </w:rPr>
  </w:style>
  <w:style w:type="paragraph" w:styleId="1142" w:customStyle="1">
    <w:name w:val="Char3"/>
    <w:basedOn w:val="764"/>
    <w:uiPriority w:val="0"/>
    <w:qFormat/>
    <w:pPr>
      <w:tabs>
        <w:tab w:val="left" w:pos="360" w:leader="none"/>
      </w:tabs>
    </w:pPr>
    <w:rPr>
      <w:rFonts w:cs="Times New Roman"/>
      <w:sz w:val="24"/>
      <w:szCs w:val="20"/>
    </w:rPr>
  </w:style>
  <w:style w:type="paragraph" w:styleId="1143" w:customStyle="1">
    <w:name w:val="Char12"/>
    <w:basedOn w:val="764"/>
    <w:uiPriority w:val="0"/>
    <w:qFormat/>
    <w:rPr>
      <w:rFonts w:cs="Times New Roman"/>
      <w:sz w:val="24"/>
      <w:szCs w:val="24"/>
    </w:rPr>
  </w:style>
  <w:style w:type="paragraph" w:styleId="1144" w:customStyle="1">
    <w:name w:val="Normal_0"/>
    <w:uiPriority w:val="99"/>
    <w:qFormat/>
    <w:rPr>
      <w:rFonts w:ascii="Times New Roman" w:hAnsi="Times New Roman" w:eastAsia="Times New Roman" w:cs="Times New Roman"/>
      <w:sz w:val="24"/>
      <w:szCs w:val="24"/>
      <w:lang w:val="en-US" w:eastAsia="zh-CN" w:bidi="ar-SA"/>
    </w:rPr>
  </w:style>
  <w:style w:type="paragraph" w:styleId="1145" w:customStyle="1">
    <w:name w:val="表格"/>
    <w:basedOn w:val="764"/>
    <w:uiPriority w:val="0"/>
    <w:qFormat/>
    <w:pPr>
      <w:jc w:val="center"/>
    </w:pPr>
    <w:rPr>
      <w:rFonts w:ascii="华文细黑" w:hAnsi="华文细黑" w:cs="Times New Roman"/>
      <w:szCs w:val="20"/>
    </w:rPr>
  </w:style>
  <w:style w:type="paragraph" w:styleId="1146" w:customStyle="1">
    <w:name w:val="正文_1_0"/>
    <w:uiPriority w:val="99"/>
    <w:qFormat/>
    <w:rPr>
      <w:rFonts w:ascii="Times New Roman" w:hAnsi="Times New Roman" w:eastAsia="宋体" w:cs="Times New Roman"/>
      <w:lang w:val="en-US" w:eastAsia="zh-CN" w:bidi="ar-SA"/>
    </w:rPr>
  </w:style>
  <w:style w:type="paragraph" w:styleId="1147" w:customStyle="1">
    <w:name w:val="Heading 71"/>
    <w:basedOn w:val="764"/>
    <w:uiPriority w:val="99"/>
    <w:qFormat/>
    <w:pPr>
      <w:jc w:val="left"/>
      <w:outlineLvl w:val="7"/>
    </w:pPr>
    <w:rPr>
      <w:rFonts w:ascii="宋体" w:hAnsi="宋体" w:cs="宋体"/>
      <w:sz w:val="28"/>
      <w:szCs w:val="28"/>
      <w:lang w:eastAsia="en-US"/>
    </w:rPr>
  </w:style>
  <w:style w:type="paragraph" w:styleId="1148" w:customStyle="1">
    <w:name w:val="Table Paragraph_0"/>
    <w:basedOn w:val="829"/>
    <w:uiPriority w:val="99"/>
    <w:qFormat/>
    <w:pPr>
      <w:widowControl w:val="off"/>
    </w:pPr>
    <w:rPr>
      <w:rFonts w:ascii="Calibri" w:hAnsi="Calibri" w:eastAsia="Times New Roman" w:cs="Calibri"/>
      <w:sz w:val="22"/>
      <w:szCs w:val="20"/>
      <w:lang w:eastAsia="en-US"/>
    </w:rPr>
  </w:style>
  <w:style w:type="paragraph" w:styleId="1149" w:customStyle="1">
    <w:name w:val="Char1 Char Char Char Char Char Char Char Char Char Char Char Char"/>
    <w:basedOn w:val="764"/>
    <w:uiPriority w:val="99"/>
    <w:qFormat/>
    <w:pPr>
      <w:ind w:firstLine="200"/>
      <w:jc w:val="left"/>
      <w:spacing w:line="180" w:lineRule="auto"/>
    </w:pPr>
    <w:rPr>
      <w:rFonts w:eastAsia="仿宋_GB2312" w:cs="Times New Roman"/>
      <w:sz w:val="24"/>
      <w:szCs w:val="24"/>
    </w:rPr>
  </w:style>
  <w:style w:type="paragraph" w:styleId="1150" w:customStyle="1">
    <w:name w:val="纯文本11"/>
    <w:basedOn w:val="827"/>
    <w:uiPriority w:val="0"/>
    <w:qFormat/>
    <w:pPr>
      <w:jc w:val="both"/>
      <w:widowControl w:val="off"/>
    </w:pPr>
    <w:rPr>
      <w:rFonts w:ascii="宋体" w:hAnsi="Courier New"/>
      <w:sz w:val="20"/>
      <w:szCs w:val="21"/>
    </w:rPr>
  </w:style>
  <w:style w:type="paragraph" w:styleId="1151" w:customStyle="1">
    <w:name w:val="列出段落11"/>
    <w:basedOn w:val="764"/>
    <w:uiPriority w:val="0"/>
    <w:qFormat/>
    <w:pPr>
      <w:ind w:firstLine="420"/>
    </w:pPr>
    <w:rPr>
      <w:rFonts w:cs="Times New Roman"/>
      <w:szCs w:val="22"/>
    </w:rPr>
  </w:style>
  <w:style w:type="paragraph" w:styleId="1152" w:customStyle="1">
    <w:name w:val="正文文本11"/>
    <w:basedOn w:val="827"/>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153" w:customStyle="1">
    <w:name w:val="标题11"/>
    <w:basedOn w:val="827"/>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154" w:customStyle="1">
    <w:name w:val="正文11"/>
    <w:uiPriority w:val="0"/>
    <w:qFormat/>
    <w:pPr>
      <w:widowControl w:val="off"/>
    </w:pPr>
    <w:rPr>
      <w:rFonts w:ascii="Times New Roman" w:hAnsi="Times New Roman" w:eastAsia="宋体" w:cs="Times New Roman"/>
      <w:lang w:val="en-US" w:eastAsia="zh-CN" w:bidi="ar-SA"/>
    </w:rPr>
  </w:style>
  <w:style w:type="paragraph" w:styleId="1155" w:customStyle="1">
    <w:name w:val="Char2"/>
    <w:basedOn w:val="764"/>
    <w:uiPriority w:val="0"/>
    <w:qFormat/>
    <w:pPr>
      <w:tabs>
        <w:tab w:val="left" w:pos="360" w:leader="none"/>
      </w:tabs>
    </w:pPr>
    <w:rPr>
      <w:rFonts w:cs="Times New Roman"/>
      <w:sz w:val="24"/>
      <w:szCs w:val="20"/>
    </w:rPr>
  </w:style>
  <w:style w:type="paragraph" w:styleId="1156" w:customStyle="1">
    <w:name w:val="Char11"/>
    <w:basedOn w:val="764"/>
    <w:uiPriority w:val="0"/>
    <w:qFormat/>
    <w:rPr>
      <w:rFonts w:cs="Times New Roman"/>
      <w:sz w:val="24"/>
      <w:szCs w:val="24"/>
    </w:rPr>
  </w:style>
  <w:style w:type="character" w:styleId="1157" w:customStyle="1">
    <w:name w:val="标题 #2_"/>
    <w:basedOn w:val="774"/>
    <w:link w:val="1158"/>
    <w:uiPriority w:val="99"/>
    <w:qFormat/>
    <w:rPr>
      <w:rFonts w:ascii="MingLiU" w:hAnsi="MingLiU" w:eastAsia="MingLiU" w:cs="MingLiU"/>
      <w:sz w:val="21"/>
      <w:szCs w:val="21"/>
      <w:shd w:val="clear" w:color="auto" w:fill="ffffff"/>
    </w:rPr>
  </w:style>
  <w:style w:type="paragraph" w:styleId="1158" w:customStyle="1">
    <w:name w:val="标题 #2"/>
    <w:basedOn w:val="764"/>
    <w:link w:val="1157"/>
    <w:uiPriority w:val="99"/>
    <w:qFormat/>
    <w:pPr>
      <w:spacing w:before="60" w:after="240" w:line="240" w:lineRule="atLeast"/>
      <w:shd w:val="clear" w:color="auto" w:fill="ffffff"/>
      <w:outlineLvl w:val="1"/>
    </w:pPr>
    <w:rPr>
      <w:rFonts w:ascii="MingLiU" w:hAnsi="MingLiU" w:eastAsia="MingLiU" w:cs="MingLiU"/>
    </w:rPr>
  </w:style>
  <w:style w:type="paragraph" w:styleId="1159" w:customStyle="1">
    <w:name w:val="正文空2格  1."/>
    <w:basedOn w:val="764"/>
    <w:uiPriority w:val="0"/>
    <w:qFormat/>
    <w:pPr>
      <w:ind w:firstLine="480"/>
    </w:pPr>
    <w:rPr>
      <w:rFonts w:cs="宋体"/>
      <w:sz w:val="28"/>
      <w:szCs w:val="20"/>
    </w:rPr>
  </w:style>
  <w:style w:type="paragraph" w:styleId="1160" w:customStyle="1">
    <w:name w:val="_Style 4"/>
    <w:basedOn w:val="765"/>
    <w:next w:val="764"/>
    <w:uiPriority w:val="0"/>
    <w:qFormat/>
    <w:pPr>
      <w:outlineLvl w:val="9"/>
    </w:pPr>
  </w:style>
  <w:style w:type="paragraph" w:styleId="1161" w:customStyle="1">
    <w:name w:val="首行缩进"/>
    <w:basedOn w:val="764"/>
    <w:uiPriority w:val="0"/>
    <w:qFormat/>
    <w:pPr>
      <w:ind w:firstLine="480"/>
    </w:pPr>
  </w:style>
  <w:style w:type="paragraph" w:styleId="1162" w:customStyle="1">
    <w:name w:val="标题 3_1"/>
    <w:basedOn w:val="1132"/>
    <w:next w:val="1131"/>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163" w:customStyle="1">
    <w:name w:val="标题 4_1"/>
    <w:basedOn w:val="1132"/>
    <w:next w:val="1132"/>
    <w:uiPriority w:val="0"/>
    <w:qFormat/>
    <w:pPr>
      <w:keepLines/>
      <w:keepNext/>
      <w:spacing w:before="280" w:after="290" w:line="376" w:lineRule="auto"/>
      <w:outlineLvl w:val="3"/>
    </w:pPr>
    <w:rPr>
      <w:rFonts w:ascii="Cambria" w:hAnsi="Cambria"/>
      <w:b/>
      <w:bCs/>
      <w:sz w:val="28"/>
      <w:szCs w:val="28"/>
    </w:rPr>
  </w:style>
  <w:style w:type="paragraph" w:styleId="1164" w:customStyle="1">
    <w:name w:val="正文_0_0_0_0"/>
    <w:basedOn w:val="827"/>
    <w:uiPriority w:val="0"/>
    <w:qFormat/>
    <w:rPr>
      <w:rFonts w:eastAsia="Times New Roman"/>
    </w:rPr>
  </w:style>
  <w:style w:type="paragraph" w:styleId="1165" w:customStyle="1">
    <w:name w:val="正文_0_0_0"/>
    <w:basedOn w:val="827"/>
    <w:uiPriority w:val="0"/>
    <w:qFormat/>
    <w:rPr>
      <w:rFonts w:eastAsia="Times New Roman"/>
    </w:rPr>
  </w:style>
  <w:style w:type="paragraph" w:styleId="1166" w:customStyle="1">
    <w:name w:val="标题 3_0_0"/>
    <w:basedOn w:val="1167"/>
    <w:next w:val="1164"/>
    <w:uiPriority w:val="0"/>
    <w:qFormat/>
    <w:pPr>
      <w:keepLines/>
      <w:keepNext/>
      <w:spacing w:before="260" w:after="260" w:line="412" w:lineRule="auto"/>
      <w:outlineLvl w:val="2"/>
    </w:pPr>
    <w:rPr>
      <w:b/>
      <w:bCs/>
      <w:sz w:val="32"/>
      <w:szCs w:val="32"/>
    </w:rPr>
  </w:style>
  <w:style w:type="paragraph" w:styleId="1167" w:customStyle="1">
    <w:name w:val="正文_0_0_0_1"/>
    <w:basedOn w:val="827"/>
    <w:uiPriority w:val="0"/>
    <w:qFormat/>
    <w:rPr>
      <w:rFonts w:eastAsia="Times New Roman"/>
    </w:rPr>
  </w:style>
  <w:style w:type="paragraph" w:styleId="1168" w:customStyle="1">
    <w:name w:val="标题 4_0_0"/>
    <w:basedOn w:val="1039"/>
    <w:next w:val="1039"/>
    <w:uiPriority w:val="0"/>
    <w:qFormat/>
    <w:pPr>
      <w:keepLines/>
      <w:keepNext/>
      <w:spacing w:before="280" w:after="290" w:line="372" w:lineRule="auto"/>
      <w:outlineLvl w:val="3"/>
    </w:pPr>
    <w:rPr>
      <w:rFonts w:ascii="Cambria" w:hAnsi="Cambria" w:eastAsia="Times New Roman" w:cs="宋体"/>
      <w:b/>
      <w:bCs/>
      <w:sz w:val="28"/>
      <w:szCs w:val="28"/>
    </w:rPr>
  </w:style>
  <w:style w:type="paragraph" w:styleId="1169" w:customStyle="1">
    <w:name w:val="正文_0_0_0_0_0"/>
    <w:basedOn w:val="827"/>
    <w:uiPriority w:val="0"/>
    <w:qFormat/>
  </w:style>
  <w:style w:type="paragraph" w:styleId="1170" w:customStyle="1">
    <w:name w:val="TOC Heading"/>
    <w:basedOn w:val="765"/>
    <w:next w:val="764"/>
    <w:uiPriority w:val="0"/>
    <w:qFormat/>
    <w:pPr>
      <w:spacing w:line="576" w:lineRule="auto"/>
      <w:outlineLvl w:val="9"/>
    </w:pPr>
    <w:rPr>
      <w:rFonts w:ascii="Calibri" w:hAnsi="Calibri" w:eastAsia="黑体"/>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E45AAA2-85CF-44DA-AE35-6C72CB65D45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徐女士</cp:lastModifiedBy>
  <cp:revision>63</cp:revision>
  <dcterms:created xsi:type="dcterms:W3CDTF">2020-12-01T07:28:00Z</dcterms:created>
  <dcterms:modified xsi:type="dcterms:W3CDTF">2025-11-13T10:57:02Z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86FD539A88924098B54FFB91EE1332CF_13</vt:lpwstr>
  </property>
  <property fmtid="{D5CDD505-2E9C-101B-9397-08002B2CF9AE}" pid="4" name="KSOTemplateDocerSaveRecord">
    <vt:lpwstr>eyJoZGlkIjoiYjA4NjQ3YzcwN2Q1M2FlZTg2MDg3ZGI5MGQ5ZmVkZDYiLCJ1c2VySWQiOiI3NTE2NjU3NDcifQ==</vt:lpwstr>
  </property>
</Properties>
</file>